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A1DB" w14:textId="77777777" w:rsidR="00BD741C" w:rsidRPr="00F743C7" w:rsidRDefault="00BD741C" w:rsidP="00BD741C">
      <w:pPr>
        <w:tabs>
          <w:tab w:val="left" w:pos="567"/>
        </w:tabs>
        <w:spacing w:after="0" w:line="240" w:lineRule="auto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>ΑΝΩΤΑΤΟ ΔΙΚΑΣΤΗΡΙΟ ΚΥΠΡΟΥ</w:t>
      </w:r>
    </w:p>
    <w:p w14:paraId="257C43AD" w14:textId="77777777" w:rsidR="00BD741C" w:rsidRPr="00F743C7" w:rsidRDefault="00BD741C" w:rsidP="00BD741C">
      <w:pPr>
        <w:spacing w:after="0" w:line="240" w:lineRule="auto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>ΔΕΥΤΕΡΟΒΑΘΜΙΑ ΔΙΚΑΙΟΔΟΣΙΑ</w:t>
      </w:r>
    </w:p>
    <w:p w14:paraId="2B3CFF44" w14:textId="77777777" w:rsidR="00BD741C" w:rsidRPr="00F743C7" w:rsidRDefault="00BD741C" w:rsidP="00BD741C">
      <w:pPr>
        <w:spacing w:line="276" w:lineRule="auto"/>
        <w:jc w:val="right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F743C7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F743C7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F743C7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F743C7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F743C7">
        <w:rPr>
          <w:rFonts w:ascii="Bookman Old Style" w:hAnsi="Bookman Old Style" w:cs="Times New Roman"/>
          <w:sz w:val="28"/>
          <w:szCs w:val="28"/>
          <w:lang w:val="el-GR"/>
        </w:rPr>
        <w:tab/>
      </w:r>
    </w:p>
    <w:p w14:paraId="5E19AF1D" w14:textId="1F7BBB07" w:rsidR="00BD741C" w:rsidRPr="00F743C7" w:rsidRDefault="00BD741C" w:rsidP="00BD741C">
      <w:pPr>
        <w:spacing w:line="276" w:lineRule="auto"/>
        <w:jc w:val="right"/>
        <w:rPr>
          <w:rFonts w:ascii="Bookman Old Style" w:hAnsi="Bookman Old Style" w:cs="Times New Roman"/>
          <w:i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>(</w:t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 xml:space="preserve">Πολιτική Έφεση </w:t>
      </w:r>
      <w:proofErr w:type="spellStart"/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Αρ</w:t>
      </w:r>
      <w:proofErr w:type="spellEnd"/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 xml:space="preserve">. </w:t>
      </w:r>
      <w:r>
        <w:rPr>
          <w:rFonts w:ascii="Bookman Old Style" w:hAnsi="Bookman Old Style" w:cs="Times New Roman"/>
          <w:i/>
          <w:sz w:val="28"/>
          <w:szCs w:val="28"/>
          <w:lang w:val="el-GR"/>
        </w:rPr>
        <w:t>130/</w:t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201</w:t>
      </w:r>
      <w:r>
        <w:rPr>
          <w:rFonts w:ascii="Bookman Old Style" w:hAnsi="Bookman Old Style" w:cs="Times New Roman"/>
          <w:i/>
          <w:sz w:val="28"/>
          <w:szCs w:val="28"/>
          <w:lang w:val="el-GR"/>
        </w:rPr>
        <w:t>5</w:t>
      </w:r>
      <w:r w:rsidRPr="00F743C7">
        <w:rPr>
          <w:rFonts w:ascii="Bookman Old Style" w:hAnsi="Bookman Old Style" w:cs="Times New Roman"/>
          <w:iCs/>
          <w:sz w:val="28"/>
          <w:szCs w:val="28"/>
          <w:lang w:val="el-GR"/>
        </w:rPr>
        <w:t>)</w:t>
      </w:r>
    </w:p>
    <w:p w14:paraId="1A5FDC74" w14:textId="77777777" w:rsidR="00BD741C" w:rsidRPr="00F743C7" w:rsidRDefault="00BD741C" w:rsidP="00BD741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</w:p>
    <w:p w14:paraId="6A991DB6" w14:textId="21A717A9" w:rsidR="00BD741C" w:rsidRPr="00F743C7" w:rsidRDefault="00FD6F86" w:rsidP="00BD741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>
        <w:rPr>
          <w:rFonts w:ascii="Bookman Old Style" w:hAnsi="Bookman Old Style" w:cs="Times New Roman"/>
          <w:sz w:val="28"/>
          <w:szCs w:val="28"/>
          <w:lang w:val="el-GR"/>
        </w:rPr>
        <w:t xml:space="preserve">31 </w:t>
      </w:r>
      <w:r w:rsidR="00BD741C">
        <w:rPr>
          <w:rFonts w:ascii="Bookman Old Style" w:hAnsi="Bookman Old Style" w:cs="Times New Roman"/>
          <w:sz w:val="28"/>
          <w:szCs w:val="28"/>
          <w:lang w:val="el-GR"/>
        </w:rPr>
        <w:t>Ιανουαρίου</w:t>
      </w:r>
      <w:r w:rsidR="00BD741C" w:rsidRPr="00F743C7">
        <w:rPr>
          <w:rFonts w:ascii="Bookman Old Style" w:hAnsi="Bookman Old Style" w:cs="Times New Roman"/>
          <w:sz w:val="28"/>
          <w:szCs w:val="28"/>
          <w:lang w:val="el-GR"/>
        </w:rPr>
        <w:t>, 202</w:t>
      </w:r>
      <w:r w:rsidR="00BD741C">
        <w:rPr>
          <w:rFonts w:ascii="Bookman Old Style" w:hAnsi="Bookman Old Style" w:cs="Times New Roman"/>
          <w:sz w:val="28"/>
          <w:szCs w:val="28"/>
          <w:lang w:val="el-GR"/>
        </w:rPr>
        <w:t>4</w:t>
      </w:r>
    </w:p>
    <w:p w14:paraId="0F15CB94" w14:textId="77777777" w:rsidR="00BD741C" w:rsidRPr="00F743C7" w:rsidRDefault="00BD741C" w:rsidP="00BD741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</w:p>
    <w:p w14:paraId="522F94ED" w14:textId="77777777" w:rsidR="00BD741C" w:rsidRPr="00F743C7" w:rsidRDefault="00BD741C" w:rsidP="00BD741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>[ΜΑΛΑΧΤΟΣ, ΙΩΑΝΝΙΔΗΣ, ΕΦΡΑΙΜ, Δ/</w:t>
      </w:r>
      <w:proofErr w:type="spellStart"/>
      <w:r w:rsidRPr="00F743C7">
        <w:rPr>
          <w:rFonts w:ascii="Bookman Old Style" w:hAnsi="Bookman Old Style" w:cs="Times New Roman"/>
          <w:sz w:val="28"/>
          <w:szCs w:val="28"/>
          <w:lang w:val="el-GR"/>
        </w:rPr>
        <w:t>στές</w:t>
      </w:r>
      <w:proofErr w:type="spellEnd"/>
      <w:r w:rsidRPr="00F743C7">
        <w:rPr>
          <w:rFonts w:ascii="Bookman Old Style" w:hAnsi="Bookman Old Style" w:cs="Times New Roman"/>
          <w:sz w:val="28"/>
          <w:szCs w:val="28"/>
          <w:lang w:val="el-GR"/>
        </w:rPr>
        <w:t>]</w:t>
      </w:r>
    </w:p>
    <w:p w14:paraId="06712FBA" w14:textId="77777777" w:rsidR="00BD741C" w:rsidRPr="00F743C7" w:rsidRDefault="00BD741C" w:rsidP="00BD741C">
      <w:pPr>
        <w:rPr>
          <w:rFonts w:ascii="Bookman Old Style" w:hAnsi="Bookman Old Style" w:cs="Times New Roman"/>
          <w:sz w:val="28"/>
          <w:szCs w:val="28"/>
          <w:lang w:val="el-GR"/>
        </w:rPr>
      </w:pPr>
    </w:p>
    <w:p w14:paraId="491A9640" w14:textId="77777777" w:rsidR="00BD741C" w:rsidRPr="00EC2930" w:rsidRDefault="00BD741C" w:rsidP="00BD741C">
      <w:pPr>
        <w:tabs>
          <w:tab w:val="left" w:pos="3544"/>
        </w:tabs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>
        <w:rPr>
          <w:rFonts w:ascii="Bookman Old Style" w:hAnsi="Bookman Old Style" w:cs="Times New Roman"/>
          <w:sz w:val="28"/>
          <w:szCs w:val="28"/>
        </w:rPr>
        <w:t>HASAN</w:t>
      </w:r>
      <w:r w:rsidRPr="00EC2930">
        <w:rPr>
          <w:rFonts w:ascii="Bookman Old Style" w:hAnsi="Bookman Old Style" w:cs="Times New Roman"/>
          <w:sz w:val="28"/>
          <w:szCs w:val="28"/>
          <w:lang w:val="el-GR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ABUL</w:t>
      </w:r>
      <w:r w:rsidRPr="00EC2930">
        <w:rPr>
          <w:rFonts w:ascii="Bookman Old Style" w:hAnsi="Bookman Old Style" w:cs="Times New Roman"/>
          <w:sz w:val="28"/>
          <w:szCs w:val="28"/>
          <w:lang w:val="el-GR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HASHEM</w:t>
      </w:r>
    </w:p>
    <w:p w14:paraId="2F627E32" w14:textId="1465C123" w:rsidR="00BD741C" w:rsidRPr="00EC2930" w:rsidRDefault="00BD741C" w:rsidP="00BD741C">
      <w:pPr>
        <w:tabs>
          <w:tab w:val="left" w:pos="1985"/>
          <w:tab w:val="left" w:pos="5670"/>
        </w:tabs>
        <w:ind w:left="2694" w:hanging="426"/>
        <w:rPr>
          <w:rFonts w:ascii="Bookman Old Style" w:hAnsi="Bookman Old Style" w:cs="Times New Roman"/>
          <w:i/>
          <w:sz w:val="28"/>
          <w:szCs w:val="28"/>
          <w:lang w:val="el-GR"/>
        </w:rPr>
      </w:pPr>
      <w:r w:rsidRPr="00EC2930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EC2930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EC2930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EC2930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proofErr w:type="spellStart"/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Εφεσείο</w:t>
      </w:r>
      <w:r>
        <w:rPr>
          <w:rFonts w:ascii="Bookman Old Style" w:hAnsi="Bookman Old Style" w:cs="Times New Roman"/>
          <w:i/>
          <w:sz w:val="28"/>
          <w:szCs w:val="28"/>
          <w:lang w:val="el-GR"/>
        </w:rPr>
        <w:t>ντας</w:t>
      </w:r>
      <w:proofErr w:type="spellEnd"/>
      <w:r w:rsidRPr="00EC2930">
        <w:rPr>
          <w:rFonts w:ascii="Bookman Old Style" w:hAnsi="Bookman Old Style" w:cs="Times New Roman"/>
          <w:i/>
          <w:sz w:val="28"/>
          <w:szCs w:val="28"/>
          <w:lang w:val="el-GR"/>
        </w:rPr>
        <w:t>,</w:t>
      </w:r>
    </w:p>
    <w:p w14:paraId="70900A98" w14:textId="77777777" w:rsidR="00BD741C" w:rsidRPr="00EC2930" w:rsidRDefault="00BD741C" w:rsidP="00BD741C">
      <w:pPr>
        <w:jc w:val="center"/>
        <w:rPr>
          <w:rFonts w:ascii="Bookman Old Style" w:hAnsi="Bookman Old Style" w:cs="Times New Roman"/>
          <w:iCs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iCs/>
          <w:sz w:val="28"/>
          <w:szCs w:val="28"/>
          <w:lang w:val="el-GR"/>
        </w:rPr>
        <w:t>ν</w:t>
      </w:r>
      <w:r w:rsidRPr="00EC2930">
        <w:rPr>
          <w:rFonts w:ascii="Bookman Old Style" w:hAnsi="Bookman Old Style" w:cs="Times New Roman"/>
          <w:iCs/>
          <w:sz w:val="28"/>
          <w:szCs w:val="28"/>
          <w:lang w:val="el-GR"/>
        </w:rPr>
        <w:t>.</w:t>
      </w:r>
    </w:p>
    <w:p w14:paraId="60F35F87" w14:textId="77777777" w:rsidR="00BD741C" w:rsidRPr="00EC2930" w:rsidRDefault="00BD741C" w:rsidP="00BD741C">
      <w:pPr>
        <w:spacing w:after="0" w:line="240" w:lineRule="auto"/>
        <w:jc w:val="center"/>
        <w:rPr>
          <w:rFonts w:ascii="Bookman Old Style" w:hAnsi="Bookman Old Style" w:cs="Times New Roman"/>
          <w:iCs/>
          <w:sz w:val="28"/>
          <w:szCs w:val="28"/>
          <w:lang w:val="el-GR"/>
        </w:rPr>
      </w:pPr>
    </w:p>
    <w:p w14:paraId="73A4B70D" w14:textId="7DF5721B" w:rsidR="00BD741C" w:rsidRPr="00BD741C" w:rsidRDefault="00BD741C" w:rsidP="00BD741C">
      <w:pPr>
        <w:jc w:val="center"/>
        <w:rPr>
          <w:rFonts w:ascii="Bookman Old Style" w:hAnsi="Bookman Old Style" w:cs="Times New Roman"/>
          <w:iCs/>
          <w:sz w:val="28"/>
          <w:szCs w:val="28"/>
          <w:lang w:val="el-GR"/>
        </w:rPr>
      </w:pPr>
      <w:r>
        <w:rPr>
          <w:rFonts w:ascii="Bookman Old Style" w:hAnsi="Bookman Old Style" w:cs="Times New Roman"/>
          <w:iCs/>
          <w:sz w:val="28"/>
          <w:szCs w:val="28"/>
          <w:lang w:val="el-GR"/>
        </w:rPr>
        <w:t>ΓΕΝΙΚΟ</w:t>
      </w:r>
      <w:r w:rsidR="00EC2930">
        <w:rPr>
          <w:rFonts w:ascii="Bookman Old Style" w:hAnsi="Bookman Old Style" w:cs="Times New Roman"/>
          <w:iCs/>
          <w:sz w:val="28"/>
          <w:szCs w:val="28"/>
          <w:lang w:val="el-GR"/>
        </w:rPr>
        <w:t>Υ</w:t>
      </w:r>
      <w:r>
        <w:rPr>
          <w:rFonts w:ascii="Bookman Old Style" w:hAnsi="Bookman Old Style" w:cs="Times New Roman"/>
          <w:iCs/>
          <w:sz w:val="28"/>
          <w:szCs w:val="28"/>
          <w:lang w:val="el-GR"/>
        </w:rPr>
        <w:t xml:space="preserve"> ΕΙΣΑΓΓΕΛΕΑ ΤΗΣ ΔΗΜΟΚΡΑΤΙΑΣ</w:t>
      </w:r>
    </w:p>
    <w:p w14:paraId="110F54FA" w14:textId="1E747F08" w:rsidR="00BD741C" w:rsidRPr="00F743C7" w:rsidRDefault="00BD741C" w:rsidP="00BD741C">
      <w:pPr>
        <w:tabs>
          <w:tab w:val="left" w:pos="5670"/>
        </w:tabs>
        <w:rPr>
          <w:rFonts w:ascii="Bookman Old Style" w:hAnsi="Bookman Old Style" w:cs="Times New Roman"/>
          <w:i/>
          <w:sz w:val="28"/>
          <w:szCs w:val="28"/>
          <w:lang w:val="el-GR"/>
        </w:rPr>
      </w:pPr>
      <w:r w:rsidRPr="00BD741C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BD741C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BD741C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Εφεσίβλητ</w:t>
      </w:r>
      <w:r>
        <w:rPr>
          <w:rFonts w:ascii="Bookman Old Style" w:hAnsi="Bookman Old Style" w:cs="Times New Roman"/>
          <w:i/>
          <w:sz w:val="28"/>
          <w:szCs w:val="28"/>
          <w:lang w:val="el-GR"/>
        </w:rPr>
        <w:t>ο</w:t>
      </w:r>
      <w:r w:rsidR="00EC2930">
        <w:rPr>
          <w:rFonts w:ascii="Bookman Old Style" w:hAnsi="Bookman Old Style" w:cs="Times New Roman"/>
          <w:i/>
          <w:sz w:val="28"/>
          <w:szCs w:val="28"/>
          <w:lang w:val="el-GR"/>
        </w:rPr>
        <w:t>υ</w:t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.</w:t>
      </w:r>
    </w:p>
    <w:p w14:paraId="6DBE4C89" w14:textId="77777777" w:rsidR="00BD741C" w:rsidRDefault="00BD741C" w:rsidP="00BD741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</w:p>
    <w:p w14:paraId="143BB9FD" w14:textId="71232E90" w:rsidR="00BD741C" w:rsidRDefault="00BD741C" w:rsidP="00BD741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>……………………</w:t>
      </w:r>
    </w:p>
    <w:p w14:paraId="4B2F6D61" w14:textId="77777777" w:rsidR="00BD741C" w:rsidRDefault="00BD741C" w:rsidP="00BD741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</w:p>
    <w:p w14:paraId="525AD71B" w14:textId="7DBB1DEF" w:rsidR="00BD741C" w:rsidRPr="00F743C7" w:rsidRDefault="00BD741C" w:rsidP="00BD741C">
      <w:pPr>
        <w:tabs>
          <w:tab w:val="left" w:pos="567"/>
        </w:tabs>
        <w:spacing w:after="0" w:line="276" w:lineRule="auto"/>
        <w:ind w:left="567"/>
        <w:rPr>
          <w:rFonts w:ascii="Bookman Old Style" w:hAnsi="Bookman Old Style" w:cs="Times New Roman"/>
          <w:sz w:val="28"/>
          <w:szCs w:val="28"/>
          <w:lang w:val="el-GR"/>
        </w:rPr>
      </w:pP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 xml:space="preserve">Σ. </w:t>
      </w:r>
      <w:proofErr w:type="spellStart"/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Ζαννούπας</w:t>
      </w:r>
      <w:proofErr w:type="spellEnd"/>
      <w:r w:rsidRPr="00F743C7">
        <w:rPr>
          <w:rFonts w:ascii="Bookman Old Style" w:hAnsi="Bookman Old Style" w:cs="Times New Roman"/>
          <w:sz w:val="28"/>
          <w:szCs w:val="28"/>
          <w:lang w:val="el-GR"/>
        </w:rPr>
        <w:t xml:space="preserve">, για </w:t>
      </w:r>
      <w:r>
        <w:rPr>
          <w:rFonts w:ascii="Bookman Old Style" w:hAnsi="Bookman Old Style" w:cs="Times New Roman"/>
          <w:sz w:val="28"/>
          <w:szCs w:val="28"/>
          <w:lang w:val="el-GR"/>
        </w:rPr>
        <w:t xml:space="preserve">τον </w:t>
      </w:r>
      <w:proofErr w:type="spellStart"/>
      <w:r>
        <w:rPr>
          <w:rFonts w:ascii="Bookman Old Style" w:hAnsi="Bookman Old Style" w:cs="Times New Roman"/>
          <w:sz w:val="28"/>
          <w:szCs w:val="28"/>
          <w:lang w:val="el-GR"/>
        </w:rPr>
        <w:t>Εφεσείοντα</w:t>
      </w:r>
      <w:proofErr w:type="spellEnd"/>
      <w:r w:rsidRPr="00F743C7">
        <w:rPr>
          <w:rFonts w:ascii="Bookman Old Style" w:hAnsi="Bookman Old Style" w:cs="Times New Roman"/>
          <w:sz w:val="28"/>
          <w:szCs w:val="28"/>
          <w:lang w:val="el-GR"/>
        </w:rPr>
        <w:t>.</w:t>
      </w:r>
    </w:p>
    <w:p w14:paraId="607B8571" w14:textId="77777777" w:rsidR="00BD741C" w:rsidRDefault="00BD741C" w:rsidP="00BD741C">
      <w:pPr>
        <w:spacing w:after="0" w:line="276" w:lineRule="auto"/>
        <w:ind w:left="567"/>
        <w:rPr>
          <w:rFonts w:ascii="Bookman Old Style" w:hAnsi="Bookman Old Style" w:cs="Times New Roman"/>
          <w:sz w:val="28"/>
          <w:szCs w:val="28"/>
          <w:lang w:val="el-GR"/>
        </w:rPr>
      </w:pP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 xml:space="preserve">Α. </w:t>
      </w:r>
      <w:proofErr w:type="spellStart"/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Χατζηκύρου</w:t>
      </w:r>
      <w:proofErr w:type="spellEnd"/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, Δικηγόρος της Δημοκρατίας Α’</w:t>
      </w:r>
      <w:r w:rsidRPr="00F743C7">
        <w:rPr>
          <w:rFonts w:ascii="Bookman Old Style" w:hAnsi="Bookman Old Style" w:cs="Times New Roman"/>
          <w:sz w:val="28"/>
          <w:szCs w:val="28"/>
          <w:lang w:val="el-GR"/>
        </w:rPr>
        <w:t>, για τ</w:t>
      </w:r>
      <w:r>
        <w:rPr>
          <w:rFonts w:ascii="Bookman Old Style" w:hAnsi="Bookman Old Style" w:cs="Times New Roman"/>
          <w:sz w:val="28"/>
          <w:szCs w:val="28"/>
          <w:lang w:val="el-GR"/>
        </w:rPr>
        <w:t>ον Εφεσίβλητο.</w:t>
      </w:r>
    </w:p>
    <w:p w14:paraId="16A7E2B8" w14:textId="77777777" w:rsidR="00BD741C" w:rsidRDefault="00BD741C" w:rsidP="00BD741C">
      <w:pPr>
        <w:spacing w:line="276" w:lineRule="auto"/>
        <w:ind w:left="567"/>
        <w:rPr>
          <w:rFonts w:ascii="Bookman Old Style" w:hAnsi="Bookman Old Style" w:cs="Times New Roman"/>
          <w:sz w:val="28"/>
          <w:szCs w:val="28"/>
          <w:lang w:val="el-GR"/>
        </w:rPr>
      </w:pPr>
    </w:p>
    <w:p w14:paraId="1E45A6F8" w14:textId="77777777" w:rsidR="00BD741C" w:rsidRPr="00F743C7" w:rsidRDefault="00BD741C" w:rsidP="00BD741C">
      <w:pPr>
        <w:spacing w:line="276" w:lineRule="auto"/>
        <w:ind w:left="567"/>
        <w:rPr>
          <w:rFonts w:ascii="Bookman Old Style" w:hAnsi="Bookman Old Style" w:cs="Times New Roman"/>
          <w:sz w:val="28"/>
          <w:szCs w:val="28"/>
          <w:lang w:val="el-GR"/>
        </w:rPr>
      </w:pPr>
    </w:p>
    <w:p w14:paraId="41B16C50" w14:textId="77777777" w:rsidR="00BD741C" w:rsidRPr="00F743C7" w:rsidRDefault="00BD741C" w:rsidP="00BD741C">
      <w:pPr>
        <w:tabs>
          <w:tab w:val="left" w:pos="567"/>
        </w:tabs>
        <w:spacing w:after="0" w:line="276" w:lineRule="auto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b/>
          <w:sz w:val="28"/>
          <w:szCs w:val="28"/>
          <w:lang w:val="el-GR"/>
        </w:rPr>
        <w:t>ΜΑΛΑΧΤΟΣ, Δ.:</w:t>
      </w:r>
      <w:r w:rsidRPr="00F743C7">
        <w:rPr>
          <w:rFonts w:ascii="Bookman Old Style" w:hAnsi="Bookman Old Style" w:cs="Times New Roman"/>
          <w:sz w:val="28"/>
          <w:szCs w:val="28"/>
          <w:lang w:val="el-GR"/>
        </w:rPr>
        <w:t xml:space="preserve"> Η απόφαση του Δικαστηρίου είναι ομόφωνη και </w:t>
      </w:r>
    </w:p>
    <w:p w14:paraId="4E94FDC5" w14:textId="77777777" w:rsidR="00BD741C" w:rsidRPr="00F743C7" w:rsidRDefault="00BD741C" w:rsidP="00BD741C">
      <w:pPr>
        <w:tabs>
          <w:tab w:val="left" w:pos="567"/>
        </w:tabs>
        <w:spacing w:line="276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 xml:space="preserve"> θα δοθεί από την </w:t>
      </w:r>
      <w:proofErr w:type="spellStart"/>
      <w:r w:rsidRPr="00F743C7">
        <w:rPr>
          <w:rFonts w:ascii="Bookman Old Style" w:hAnsi="Bookman Old Style" w:cs="Times New Roman"/>
          <w:sz w:val="28"/>
          <w:szCs w:val="28"/>
          <w:lang w:val="el-GR"/>
        </w:rPr>
        <w:t>Εφραίμ</w:t>
      </w:r>
      <w:proofErr w:type="spellEnd"/>
      <w:r w:rsidRPr="00F743C7">
        <w:rPr>
          <w:rFonts w:ascii="Bookman Old Style" w:hAnsi="Bookman Old Style" w:cs="Times New Roman"/>
          <w:sz w:val="28"/>
          <w:szCs w:val="28"/>
          <w:lang w:val="el-GR"/>
        </w:rPr>
        <w:t>, Δ.</w:t>
      </w:r>
    </w:p>
    <w:p w14:paraId="44D85E0F" w14:textId="77777777" w:rsidR="00BD741C" w:rsidRDefault="00BD741C" w:rsidP="00BD741C">
      <w:pPr>
        <w:tabs>
          <w:tab w:val="left" w:pos="567"/>
        </w:tabs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630001B9" w14:textId="77777777" w:rsidR="00BD741C" w:rsidRDefault="00BD741C" w:rsidP="00BD741C">
      <w:pPr>
        <w:tabs>
          <w:tab w:val="left" w:pos="567"/>
        </w:tabs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7928105B" w14:textId="77777777" w:rsidR="00BD741C" w:rsidRPr="00F743C7" w:rsidRDefault="00BD741C" w:rsidP="00BD741C">
      <w:pPr>
        <w:tabs>
          <w:tab w:val="left" w:pos="567"/>
        </w:tabs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3B9D4A14" w14:textId="77777777" w:rsidR="00BD741C" w:rsidRPr="00F743C7" w:rsidRDefault="00BD741C" w:rsidP="00BD741C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  <w:r w:rsidRPr="00F743C7"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  <w:lastRenderedPageBreak/>
        <w:t>Α Π Ο Φ Α Σ Η</w:t>
      </w:r>
    </w:p>
    <w:p w14:paraId="1C2FB8EF" w14:textId="77777777" w:rsidR="00BD741C" w:rsidRPr="00F743C7" w:rsidRDefault="00BD741C" w:rsidP="00BD741C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5D81697D" w14:textId="7717F973" w:rsidR="004F1C86" w:rsidRDefault="00BD741C" w:rsidP="005E5278">
      <w:pPr>
        <w:spacing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b/>
          <w:sz w:val="28"/>
          <w:szCs w:val="28"/>
          <w:lang w:val="el-GR"/>
        </w:rPr>
        <w:t xml:space="preserve">ΕΦΡΑΙΜ, Δ.: </w:t>
      </w:r>
      <w:r w:rsidR="000D41FA">
        <w:rPr>
          <w:rFonts w:ascii="Bookman Old Style" w:hAnsi="Bookman Old Style"/>
          <w:sz w:val="28"/>
          <w:szCs w:val="28"/>
          <w:lang w:val="el-GR"/>
        </w:rPr>
        <w:t xml:space="preserve">Η παρούσα Έφεση στρέφεται εναντίον απόφασης με την οποία επιδικάστηκε υπέρ του </w:t>
      </w:r>
      <w:proofErr w:type="spellStart"/>
      <w:r w:rsidR="000D41FA">
        <w:rPr>
          <w:rFonts w:ascii="Bookman Old Style" w:hAnsi="Bookman Old Style"/>
          <w:sz w:val="28"/>
          <w:szCs w:val="28"/>
          <w:lang w:val="el-GR"/>
        </w:rPr>
        <w:t>Εφεσείοντος</w:t>
      </w:r>
      <w:proofErr w:type="spellEnd"/>
      <w:r w:rsidR="000D41FA">
        <w:rPr>
          <w:rFonts w:ascii="Bookman Old Style" w:hAnsi="Bookman Old Style"/>
          <w:sz w:val="28"/>
          <w:szCs w:val="28"/>
          <w:lang w:val="el-GR"/>
        </w:rPr>
        <w:t xml:space="preserve"> και εναντίον του Εφεσίβλητου το ποσό των €1.500 με τόκο, για στέρηση της ελευθερίας του </w:t>
      </w:r>
      <w:proofErr w:type="spellStart"/>
      <w:r w:rsidR="000D41FA">
        <w:rPr>
          <w:rFonts w:ascii="Bookman Old Style" w:hAnsi="Bookman Old Style"/>
          <w:sz w:val="28"/>
          <w:szCs w:val="28"/>
          <w:lang w:val="el-GR"/>
        </w:rPr>
        <w:t>Εφεσείοντος</w:t>
      </w:r>
      <w:proofErr w:type="spellEnd"/>
      <w:r w:rsidR="000D41FA">
        <w:rPr>
          <w:rFonts w:ascii="Bookman Old Style" w:hAnsi="Bookman Old Style"/>
          <w:sz w:val="28"/>
          <w:szCs w:val="28"/>
          <w:lang w:val="el-GR"/>
        </w:rPr>
        <w:t xml:space="preserve"> για 46 ημέρες κατόπιν καταδίκης του η οποία ανετράπη κατ’ έφεση. </w:t>
      </w:r>
    </w:p>
    <w:p w14:paraId="52DC7F61" w14:textId="1B9085B5" w:rsidR="000D41FA" w:rsidRDefault="000D41FA" w:rsidP="005E5278">
      <w:pPr>
        <w:spacing w:before="240"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Οι λόγοι έφεσης αφορούν </w:t>
      </w:r>
      <w:r w:rsidR="00CF0C2F">
        <w:rPr>
          <w:rFonts w:ascii="Bookman Old Style" w:hAnsi="Bookman Old Style"/>
          <w:sz w:val="28"/>
          <w:szCs w:val="28"/>
          <w:lang w:val="el-GR"/>
        </w:rPr>
        <w:t xml:space="preserve">κυρίως στο ότι το πρωτόδικο Δικαστήριο </w:t>
      </w:r>
      <w:r w:rsidR="00543BCF">
        <w:rPr>
          <w:rFonts w:ascii="Bookman Old Style" w:hAnsi="Bookman Old Style"/>
          <w:sz w:val="28"/>
          <w:szCs w:val="28"/>
          <w:lang w:val="el-GR"/>
        </w:rPr>
        <w:t xml:space="preserve">κατέληξε σε λανθασμένο </w:t>
      </w:r>
      <w:r>
        <w:rPr>
          <w:rFonts w:ascii="Bookman Old Style" w:hAnsi="Bookman Old Style"/>
          <w:sz w:val="28"/>
          <w:szCs w:val="28"/>
          <w:lang w:val="el-GR"/>
        </w:rPr>
        <w:t xml:space="preserve">ύψος του επιδικασθέντος ποσού και τόκου, καθώς επίσης </w:t>
      </w:r>
      <w:r w:rsidR="00CF0C2F">
        <w:rPr>
          <w:rFonts w:ascii="Bookman Old Style" w:hAnsi="Bookman Old Style"/>
          <w:sz w:val="28"/>
          <w:szCs w:val="28"/>
          <w:lang w:val="el-GR"/>
        </w:rPr>
        <w:t xml:space="preserve">λανθασμένα ερμήνευσε τον </w:t>
      </w:r>
      <w:r w:rsidRPr="00C84E0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περί κατ’ Έφεση Ανατροπής Ποινής Φυλάκισης (Αποζημίωση) Ν</w:t>
      </w:r>
      <w:r w:rsidR="0052208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όμο του 2001, Ν</w:t>
      </w:r>
      <w:r w:rsidRPr="00C84E0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.144(Ι)/2001</w:t>
      </w:r>
      <w:r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4911A929" w14:textId="113B7399" w:rsidR="00746650" w:rsidRDefault="00EC2930" w:rsidP="005E5278">
      <w:pPr>
        <w:spacing w:before="240"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Μετά την καταχώριση περιγραμμάτων </w:t>
      </w:r>
      <w:r w:rsidR="00746650">
        <w:rPr>
          <w:rFonts w:ascii="Bookman Old Style" w:hAnsi="Bookman Old Style"/>
          <w:sz w:val="28"/>
          <w:szCs w:val="28"/>
          <w:lang w:val="el-GR"/>
        </w:rPr>
        <w:t xml:space="preserve">αγόρευσης </w:t>
      </w:r>
      <w:r>
        <w:rPr>
          <w:rFonts w:ascii="Bookman Old Style" w:hAnsi="Bookman Old Style"/>
          <w:sz w:val="28"/>
          <w:szCs w:val="28"/>
          <w:lang w:val="el-GR"/>
        </w:rPr>
        <w:t>και από τις δύο πλευρές, κ</w:t>
      </w:r>
      <w:r w:rsidR="00746650">
        <w:rPr>
          <w:rFonts w:ascii="Bookman Old Style" w:hAnsi="Bookman Old Style"/>
          <w:sz w:val="28"/>
          <w:szCs w:val="28"/>
          <w:lang w:val="el-GR"/>
        </w:rPr>
        <w:t xml:space="preserve">ατά την ακρόαση της Έφεσης ο δικηγόρος του </w:t>
      </w:r>
      <w:proofErr w:type="spellStart"/>
      <w:r w:rsidR="00746650">
        <w:rPr>
          <w:rFonts w:ascii="Bookman Old Style" w:hAnsi="Bookman Old Style"/>
          <w:sz w:val="28"/>
          <w:szCs w:val="28"/>
          <w:lang w:val="el-GR"/>
        </w:rPr>
        <w:t>Εφεσείοντος</w:t>
      </w:r>
      <w:proofErr w:type="spellEnd"/>
      <w:r w:rsidR="00746650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A3C43">
        <w:rPr>
          <w:rFonts w:ascii="Bookman Old Style" w:hAnsi="Bookman Old Style"/>
          <w:sz w:val="28"/>
          <w:szCs w:val="28"/>
          <w:lang w:val="el-GR"/>
        </w:rPr>
        <w:t xml:space="preserve">ανέφερε πως </w:t>
      </w:r>
      <w:r w:rsidR="00746650">
        <w:rPr>
          <w:rFonts w:ascii="Bookman Old Style" w:hAnsi="Bookman Old Style"/>
          <w:sz w:val="28"/>
          <w:szCs w:val="28"/>
          <w:lang w:val="el-GR"/>
        </w:rPr>
        <w:t xml:space="preserve">ήγειρε προφορικά ζήτημα αντισυνταγματικότητας του </w:t>
      </w:r>
      <w:r w:rsidR="00746650" w:rsidRPr="0074665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Ν.144(Ι)/2001</w:t>
      </w:r>
      <w:r w:rsidR="00622476" w:rsidRPr="00622476">
        <w:rPr>
          <w:rFonts w:ascii="Bookman Old Style" w:hAnsi="Bookman Old Style"/>
          <w:sz w:val="28"/>
          <w:szCs w:val="28"/>
          <w:lang w:val="el-GR"/>
        </w:rPr>
        <w:t xml:space="preserve">, το οποίο ζήτησε </w:t>
      </w:r>
      <w:r w:rsidR="00622476">
        <w:rPr>
          <w:rFonts w:ascii="Bookman Old Style" w:hAnsi="Bookman Old Style"/>
          <w:sz w:val="28"/>
          <w:szCs w:val="28"/>
          <w:lang w:val="el-GR"/>
        </w:rPr>
        <w:t>να παραπέμψουμε για εκδίκαση από το Ανώτατο Συνταγματικό Δικαστήριο</w:t>
      </w:r>
      <w:r w:rsidR="00746650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4D2786">
        <w:rPr>
          <w:rFonts w:ascii="Bookman Old Style" w:hAnsi="Bookman Old Style"/>
          <w:sz w:val="28"/>
          <w:szCs w:val="28"/>
          <w:lang w:val="el-GR"/>
        </w:rPr>
        <w:t xml:space="preserve">Είναι αποδεκτό </w:t>
      </w:r>
      <w:r w:rsidR="005C2A56">
        <w:rPr>
          <w:rFonts w:ascii="Bookman Old Style" w:hAnsi="Bookman Old Style"/>
          <w:sz w:val="28"/>
          <w:szCs w:val="28"/>
          <w:lang w:val="el-GR"/>
        </w:rPr>
        <w:t xml:space="preserve">από τον Εφεσείοντα </w:t>
      </w:r>
      <w:r w:rsidR="004D2786">
        <w:rPr>
          <w:rFonts w:ascii="Bookman Old Style" w:hAnsi="Bookman Old Style"/>
          <w:sz w:val="28"/>
          <w:szCs w:val="28"/>
          <w:lang w:val="el-GR"/>
        </w:rPr>
        <w:t xml:space="preserve">ότι </w:t>
      </w:r>
      <w:r w:rsidR="00141D7E">
        <w:rPr>
          <w:rFonts w:ascii="Bookman Old Style" w:hAnsi="Bookman Old Style"/>
          <w:sz w:val="28"/>
          <w:szCs w:val="28"/>
          <w:lang w:val="el-GR"/>
        </w:rPr>
        <w:t xml:space="preserve">τέτοιο </w:t>
      </w:r>
      <w:r w:rsidR="004D2786">
        <w:rPr>
          <w:rFonts w:ascii="Bookman Old Style" w:hAnsi="Bookman Old Style"/>
          <w:sz w:val="28"/>
          <w:szCs w:val="28"/>
          <w:lang w:val="el-GR"/>
        </w:rPr>
        <w:t>ζήτημα δεν ηγέρθη ούτε πρωτόδικα ούτε και στους λόγους έφεσης</w:t>
      </w:r>
      <w:r w:rsidR="00D577EA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5C2A56">
        <w:rPr>
          <w:rFonts w:ascii="Bookman Old Style" w:hAnsi="Bookman Old Style"/>
          <w:sz w:val="28"/>
          <w:szCs w:val="28"/>
          <w:lang w:val="el-GR"/>
        </w:rPr>
        <w:t xml:space="preserve">Δώσαμε </w:t>
      </w:r>
      <w:r w:rsidR="00622476">
        <w:rPr>
          <w:rFonts w:ascii="Bookman Old Style" w:hAnsi="Bookman Old Style"/>
          <w:sz w:val="28"/>
          <w:szCs w:val="28"/>
          <w:lang w:val="el-GR"/>
        </w:rPr>
        <w:t xml:space="preserve">οδηγίες για την καταχώριση </w:t>
      </w:r>
      <w:r w:rsidR="008621E6">
        <w:rPr>
          <w:rFonts w:ascii="Bookman Old Style" w:hAnsi="Bookman Old Style"/>
          <w:sz w:val="28"/>
          <w:szCs w:val="28"/>
          <w:lang w:val="el-GR"/>
        </w:rPr>
        <w:t>συμπληρωματικ</w:t>
      </w:r>
      <w:r w:rsidR="00622476">
        <w:rPr>
          <w:rFonts w:ascii="Bookman Old Style" w:hAnsi="Bookman Old Style"/>
          <w:sz w:val="28"/>
          <w:szCs w:val="28"/>
          <w:lang w:val="el-GR"/>
        </w:rPr>
        <w:t>ών</w:t>
      </w:r>
      <w:r w:rsidR="008621E6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D47AC9">
        <w:rPr>
          <w:rFonts w:ascii="Bookman Old Style" w:hAnsi="Bookman Old Style"/>
          <w:sz w:val="28"/>
          <w:szCs w:val="28"/>
          <w:lang w:val="el-GR"/>
        </w:rPr>
        <w:t xml:space="preserve">περιγραμμάτων αγόρευσης ως </w:t>
      </w:r>
      <w:r w:rsidR="008621E6">
        <w:rPr>
          <w:rFonts w:ascii="Bookman Old Style" w:hAnsi="Bookman Old Style"/>
          <w:sz w:val="28"/>
          <w:szCs w:val="28"/>
          <w:lang w:val="el-GR"/>
        </w:rPr>
        <w:t xml:space="preserve">προς το κατά πόσο ζήτημα </w:t>
      </w:r>
      <w:r w:rsidR="00CD4C95">
        <w:rPr>
          <w:rFonts w:ascii="Bookman Old Style" w:hAnsi="Bookman Old Style"/>
          <w:sz w:val="28"/>
          <w:szCs w:val="28"/>
          <w:lang w:val="el-GR"/>
        </w:rPr>
        <w:lastRenderedPageBreak/>
        <w:t>αντι</w:t>
      </w:r>
      <w:r w:rsidR="008621E6">
        <w:rPr>
          <w:rFonts w:ascii="Bookman Old Style" w:hAnsi="Bookman Old Style"/>
          <w:sz w:val="28"/>
          <w:szCs w:val="28"/>
          <w:lang w:val="el-GR"/>
        </w:rPr>
        <w:t>συνταγματικότητας</w:t>
      </w:r>
      <w:r w:rsidR="005C2A56">
        <w:rPr>
          <w:rFonts w:ascii="Bookman Old Style" w:hAnsi="Bookman Old Style"/>
          <w:sz w:val="28"/>
          <w:szCs w:val="28"/>
          <w:lang w:val="el-GR"/>
        </w:rPr>
        <w:t xml:space="preserve"> «</w:t>
      </w:r>
      <w:r w:rsidR="005C2A56" w:rsidRPr="005C2A56">
        <w:rPr>
          <w:rFonts w:ascii="Bookman Old Style" w:hAnsi="Bookman Old Style"/>
          <w:i/>
          <w:iCs/>
          <w:sz w:val="28"/>
          <w:szCs w:val="28"/>
          <w:lang w:val="el-GR"/>
        </w:rPr>
        <w:t>εγείρεται</w:t>
      </w:r>
      <w:r w:rsidR="005C2A56">
        <w:rPr>
          <w:rFonts w:ascii="Bookman Old Style" w:hAnsi="Bookman Old Style"/>
          <w:sz w:val="28"/>
          <w:szCs w:val="28"/>
          <w:lang w:val="el-GR"/>
        </w:rPr>
        <w:t>» απλά και μόνο με το να ειπωθεί ότι εγείρεται κατά τη συζήτηση της Έφεσης</w:t>
      </w:r>
      <w:r w:rsidR="00622476">
        <w:rPr>
          <w:rFonts w:ascii="Bookman Old Style" w:hAnsi="Bookman Old Style"/>
          <w:sz w:val="28"/>
          <w:szCs w:val="28"/>
          <w:lang w:val="el-GR"/>
        </w:rPr>
        <w:t xml:space="preserve">, χωρίς να είχε εγερθεί πρωτόδικα και περιληφθεί στους λόγους έφεσης. </w:t>
      </w:r>
    </w:p>
    <w:p w14:paraId="3E43A221" w14:textId="3DE25F1A" w:rsidR="00614FB2" w:rsidRDefault="00622476" w:rsidP="005E5278">
      <w:pPr>
        <w:spacing w:before="240"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Κατά την ημερομηνία ακρόασης</w:t>
      </w:r>
      <w:r w:rsidR="00F1447C">
        <w:rPr>
          <w:rFonts w:ascii="Bookman Old Style" w:hAnsi="Bookman Old Style"/>
          <w:sz w:val="28"/>
          <w:szCs w:val="28"/>
          <w:lang w:val="el-GR"/>
        </w:rPr>
        <w:t>,</w:t>
      </w:r>
      <w:r w:rsidR="00D47632">
        <w:rPr>
          <w:rFonts w:ascii="Bookman Old Style" w:hAnsi="Bookman Old Style"/>
          <w:sz w:val="28"/>
          <w:szCs w:val="28"/>
          <w:lang w:val="el-GR"/>
        </w:rPr>
        <w:t xml:space="preserve"> επί αυτού μόνο του ζητήματος,</w:t>
      </w:r>
      <w:r w:rsidR="00831112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D47632">
        <w:rPr>
          <w:rFonts w:ascii="Bookman Old Style" w:hAnsi="Bookman Old Style"/>
          <w:sz w:val="28"/>
          <w:szCs w:val="28"/>
          <w:lang w:val="el-GR"/>
        </w:rPr>
        <w:t>ο</w:t>
      </w:r>
      <w:r w:rsidR="00831112">
        <w:rPr>
          <w:rFonts w:ascii="Bookman Old Style" w:hAnsi="Bookman Old Style"/>
          <w:sz w:val="28"/>
          <w:szCs w:val="28"/>
          <w:lang w:val="el-GR"/>
        </w:rPr>
        <w:t xml:space="preserve"> δικηγόρος του </w:t>
      </w:r>
      <w:proofErr w:type="spellStart"/>
      <w:r w:rsidR="00831112">
        <w:rPr>
          <w:rFonts w:ascii="Bookman Old Style" w:hAnsi="Bookman Old Style"/>
          <w:sz w:val="28"/>
          <w:szCs w:val="28"/>
          <w:lang w:val="el-GR"/>
        </w:rPr>
        <w:t>Εφεσείοντος</w:t>
      </w:r>
      <w:proofErr w:type="spellEnd"/>
      <w:r w:rsidR="00831112">
        <w:rPr>
          <w:rFonts w:ascii="Bookman Old Style" w:hAnsi="Bookman Old Style"/>
          <w:sz w:val="28"/>
          <w:szCs w:val="28"/>
          <w:lang w:val="el-GR"/>
        </w:rPr>
        <w:t xml:space="preserve"> εισηγήθηκε ότι με την τροποποίηση του </w:t>
      </w:r>
      <w:r w:rsidR="00831112" w:rsidRPr="00FA60F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Άρθρου 144 </w:t>
      </w:r>
      <w:r w:rsidR="00831112" w:rsidRPr="00FA60F0">
        <w:rPr>
          <w:rFonts w:ascii="Bookman Old Style" w:hAnsi="Bookman Old Style"/>
          <w:sz w:val="28"/>
          <w:szCs w:val="28"/>
          <w:lang w:val="el-GR"/>
        </w:rPr>
        <w:t xml:space="preserve">του </w:t>
      </w:r>
      <w:r w:rsidR="00831112" w:rsidRPr="00FA60F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Συντάγματος</w:t>
      </w:r>
      <w:r w:rsidR="00831112">
        <w:rPr>
          <w:rFonts w:ascii="Bookman Old Style" w:hAnsi="Bookman Old Style"/>
          <w:sz w:val="28"/>
          <w:szCs w:val="28"/>
          <w:lang w:val="el-GR"/>
        </w:rPr>
        <w:t xml:space="preserve">, έχει διευρυνθεί η δυνατότητα προβολής ζητήματος </w:t>
      </w:r>
      <w:r w:rsidR="00CD4C95">
        <w:rPr>
          <w:rFonts w:ascii="Bookman Old Style" w:hAnsi="Bookman Old Style"/>
          <w:sz w:val="28"/>
          <w:szCs w:val="28"/>
          <w:lang w:val="el-GR"/>
        </w:rPr>
        <w:t>αντι</w:t>
      </w:r>
      <w:r w:rsidR="00831112">
        <w:rPr>
          <w:rFonts w:ascii="Bookman Old Style" w:hAnsi="Bookman Old Style"/>
          <w:sz w:val="28"/>
          <w:szCs w:val="28"/>
          <w:lang w:val="el-GR"/>
        </w:rPr>
        <w:t xml:space="preserve">συνταγματικότητας το οποίο δύναται να εγερθεί σε οποιοδήποτε στάδιο της διαδικασίας και ότι από τη στιγμή που εγείρεται, το </w:t>
      </w:r>
      <w:r w:rsidR="00164DAE">
        <w:rPr>
          <w:rFonts w:ascii="Bookman Old Style" w:hAnsi="Bookman Old Style"/>
          <w:sz w:val="28"/>
          <w:szCs w:val="28"/>
          <w:lang w:val="el-GR"/>
        </w:rPr>
        <w:t xml:space="preserve">Ανώτατο </w:t>
      </w:r>
      <w:r w:rsidR="00831112">
        <w:rPr>
          <w:rFonts w:ascii="Bookman Old Style" w:hAnsi="Bookman Old Style"/>
          <w:sz w:val="28"/>
          <w:szCs w:val="28"/>
          <w:lang w:val="el-GR"/>
        </w:rPr>
        <w:t xml:space="preserve">Δικαστήριο είναι υποχρεωμένο να το παραπέμψει στο Ανώτατο Συνταγματικό Δικαστήριο. </w:t>
      </w:r>
    </w:p>
    <w:p w14:paraId="3163F5D4" w14:textId="37E780A9" w:rsidR="00622476" w:rsidRDefault="001602F6" w:rsidP="005E5278">
      <w:pPr>
        <w:spacing w:before="240" w:after="48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Αντίθετη ήταν η θέση του Εφεσίβλητου, ήτοι πως από τη στιγμή που το ζήτημα προβλήθηκε για πρώτη φορά στο πλαίσιο της ακρόασης της </w:t>
      </w:r>
      <w:r w:rsidR="00D13B54">
        <w:rPr>
          <w:rFonts w:ascii="Bookman Old Style" w:hAnsi="Bookman Old Style"/>
          <w:sz w:val="28"/>
          <w:szCs w:val="28"/>
          <w:lang w:val="el-GR"/>
        </w:rPr>
        <w:t>Έ</w:t>
      </w:r>
      <w:r>
        <w:rPr>
          <w:rFonts w:ascii="Bookman Old Style" w:hAnsi="Bookman Old Style"/>
          <w:sz w:val="28"/>
          <w:szCs w:val="28"/>
          <w:lang w:val="el-GR"/>
        </w:rPr>
        <w:t xml:space="preserve">φεσης, τότε δεν </w:t>
      </w:r>
      <w:r w:rsidR="00843627">
        <w:rPr>
          <w:rFonts w:ascii="Bookman Old Style" w:hAnsi="Bookman Old Style"/>
          <w:sz w:val="28"/>
          <w:szCs w:val="28"/>
          <w:lang w:val="el-GR"/>
        </w:rPr>
        <w:t xml:space="preserve">θεωρείται ότι </w:t>
      </w:r>
      <w:r w:rsidR="00164DAE">
        <w:rPr>
          <w:rFonts w:ascii="Bookman Old Style" w:hAnsi="Bookman Old Style"/>
          <w:sz w:val="28"/>
          <w:szCs w:val="28"/>
          <w:lang w:val="el-GR"/>
        </w:rPr>
        <w:t>«</w:t>
      </w:r>
      <w:r w:rsidR="00843627" w:rsidRPr="00164DAE">
        <w:rPr>
          <w:rFonts w:ascii="Bookman Old Style" w:hAnsi="Bookman Old Style"/>
          <w:i/>
          <w:iCs/>
          <w:sz w:val="28"/>
          <w:szCs w:val="28"/>
          <w:lang w:val="el-GR"/>
        </w:rPr>
        <w:t>εγείρεται</w:t>
      </w:r>
      <w:r w:rsidR="00164DAE">
        <w:rPr>
          <w:rFonts w:ascii="Bookman Old Style" w:hAnsi="Bookman Old Style"/>
          <w:sz w:val="28"/>
          <w:szCs w:val="28"/>
          <w:lang w:val="el-GR"/>
        </w:rPr>
        <w:t>»</w:t>
      </w:r>
      <w:r w:rsidR="00843627">
        <w:rPr>
          <w:rFonts w:ascii="Bookman Old Style" w:hAnsi="Bookman Old Style"/>
          <w:sz w:val="28"/>
          <w:szCs w:val="28"/>
          <w:lang w:val="el-GR"/>
        </w:rPr>
        <w:t xml:space="preserve"> στα πλαίσια της </w:t>
      </w:r>
      <w:r w:rsidR="00D13B54">
        <w:rPr>
          <w:rFonts w:ascii="Bookman Old Style" w:hAnsi="Bookman Old Style"/>
          <w:sz w:val="28"/>
          <w:szCs w:val="28"/>
          <w:lang w:val="el-GR"/>
        </w:rPr>
        <w:t>Έ</w:t>
      </w:r>
      <w:r w:rsidR="00843627">
        <w:rPr>
          <w:rFonts w:ascii="Bookman Old Style" w:hAnsi="Bookman Old Style"/>
          <w:sz w:val="28"/>
          <w:szCs w:val="28"/>
          <w:lang w:val="el-GR"/>
        </w:rPr>
        <w:t xml:space="preserve">φεσης και δεν δύναται να τύχει εξέτασης. Ο δικηγόρος του Εφεσίβλητου εξέφρασε επίσης τον προβληματισμό για το ποιο από τα δύο Δικαστήρια, Ανώτατο </w:t>
      </w:r>
      <w:r w:rsidR="00164DAE">
        <w:rPr>
          <w:rFonts w:ascii="Bookman Old Style" w:hAnsi="Bookman Old Style"/>
          <w:sz w:val="28"/>
          <w:szCs w:val="28"/>
          <w:lang w:val="el-GR"/>
        </w:rPr>
        <w:t xml:space="preserve">Δικαστήριο </w:t>
      </w:r>
      <w:r w:rsidR="00843627">
        <w:rPr>
          <w:rFonts w:ascii="Bookman Old Style" w:hAnsi="Bookman Old Style"/>
          <w:sz w:val="28"/>
          <w:szCs w:val="28"/>
          <w:lang w:val="el-GR"/>
        </w:rPr>
        <w:t>ή Ανώτατο Συνταγματικό</w:t>
      </w:r>
      <w:r w:rsidR="00164DAE">
        <w:rPr>
          <w:rFonts w:ascii="Bookman Old Style" w:hAnsi="Bookman Old Style"/>
          <w:sz w:val="28"/>
          <w:szCs w:val="28"/>
          <w:lang w:val="el-GR"/>
        </w:rPr>
        <w:t xml:space="preserve"> Δικαστήριο</w:t>
      </w:r>
      <w:r w:rsidR="00843627">
        <w:rPr>
          <w:rFonts w:ascii="Bookman Old Style" w:hAnsi="Bookman Old Style"/>
          <w:sz w:val="28"/>
          <w:szCs w:val="28"/>
          <w:lang w:val="el-GR"/>
        </w:rPr>
        <w:t xml:space="preserve">, είναι </w:t>
      </w:r>
      <w:r w:rsidR="00164DAE"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="00843627">
        <w:rPr>
          <w:rFonts w:ascii="Bookman Old Style" w:hAnsi="Bookman Old Style"/>
          <w:sz w:val="28"/>
          <w:szCs w:val="28"/>
          <w:lang w:val="el-GR"/>
        </w:rPr>
        <w:t xml:space="preserve">αρμόδιο για να αποφασίσει κατά πόσο ζήτημα </w:t>
      </w:r>
      <w:r w:rsidR="00CD4C95">
        <w:rPr>
          <w:rFonts w:ascii="Bookman Old Style" w:hAnsi="Bookman Old Style"/>
          <w:sz w:val="28"/>
          <w:szCs w:val="28"/>
          <w:lang w:val="el-GR"/>
        </w:rPr>
        <w:t>αντι</w:t>
      </w:r>
      <w:r w:rsidR="00843627">
        <w:rPr>
          <w:rFonts w:ascii="Bookman Old Style" w:hAnsi="Bookman Old Style"/>
          <w:sz w:val="28"/>
          <w:szCs w:val="28"/>
          <w:lang w:val="el-GR"/>
        </w:rPr>
        <w:t>συνταγματικότητας «</w:t>
      </w:r>
      <w:r w:rsidR="00843627" w:rsidRPr="00FA60F0">
        <w:rPr>
          <w:rFonts w:ascii="Bookman Old Style" w:hAnsi="Bookman Old Style"/>
          <w:i/>
          <w:iCs/>
          <w:sz w:val="28"/>
          <w:szCs w:val="28"/>
          <w:lang w:val="el-GR"/>
        </w:rPr>
        <w:t>εγείρεται</w:t>
      </w:r>
      <w:r w:rsidR="00843627">
        <w:rPr>
          <w:rFonts w:ascii="Bookman Old Style" w:hAnsi="Bookman Old Style"/>
          <w:sz w:val="28"/>
          <w:szCs w:val="28"/>
          <w:lang w:val="el-GR"/>
        </w:rPr>
        <w:t xml:space="preserve">» εν τη </w:t>
      </w:r>
      <w:proofErr w:type="spellStart"/>
      <w:r w:rsidR="00843627">
        <w:rPr>
          <w:rFonts w:ascii="Bookman Old Style" w:hAnsi="Bookman Old Style"/>
          <w:sz w:val="28"/>
          <w:szCs w:val="28"/>
          <w:lang w:val="el-GR"/>
        </w:rPr>
        <w:t>εννοία</w:t>
      </w:r>
      <w:proofErr w:type="spellEnd"/>
      <w:r w:rsidR="00843627">
        <w:rPr>
          <w:rFonts w:ascii="Bookman Old Style" w:hAnsi="Bookman Old Style"/>
          <w:sz w:val="28"/>
          <w:szCs w:val="28"/>
          <w:lang w:val="el-GR"/>
        </w:rPr>
        <w:t xml:space="preserve"> του</w:t>
      </w:r>
      <w:r w:rsidR="00FA60F0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FA60F0" w:rsidRPr="00FA60F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144</w:t>
      </w:r>
      <w:r w:rsidR="00FA60F0">
        <w:rPr>
          <w:rFonts w:ascii="Bookman Old Style" w:hAnsi="Bookman Old Style"/>
          <w:sz w:val="28"/>
          <w:szCs w:val="28"/>
          <w:lang w:val="el-GR"/>
        </w:rPr>
        <w:t xml:space="preserve">, εφόσον </w:t>
      </w:r>
      <w:r w:rsidR="00A3489F">
        <w:rPr>
          <w:rFonts w:ascii="Bookman Old Style" w:hAnsi="Bookman Old Style"/>
          <w:sz w:val="28"/>
          <w:szCs w:val="28"/>
          <w:lang w:val="el-GR"/>
        </w:rPr>
        <w:t xml:space="preserve">αυτό το ίδιο το ερώτημα </w:t>
      </w:r>
      <w:r w:rsidR="00FA60F0">
        <w:rPr>
          <w:rFonts w:ascii="Bookman Old Style" w:hAnsi="Bookman Old Style"/>
          <w:sz w:val="28"/>
          <w:szCs w:val="28"/>
          <w:lang w:val="el-GR"/>
        </w:rPr>
        <w:t xml:space="preserve">αφορά ερμηνεία συνταγματικής πρόνοιας. </w:t>
      </w:r>
      <w:r w:rsidR="00843627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63783702" w14:textId="433743C4" w:rsidR="006E22DE" w:rsidRDefault="006E22DE" w:rsidP="005E5278">
      <w:pPr>
        <w:spacing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lastRenderedPageBreak/>
        <w:t xml:space="preserve">Το </w:t>
      </w:r>
      <w:r w:rsidRPr="006E22D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144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.1</w:t>
      </w:r>
      <w:r w:rsidRPr="006E22D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Pr="006E22DE">
        <w:rPr>
          <w:rFonts w:ascii="Bookman Old Style" w:hAnsi="Bookman Old Style"/>
          <w:sz w:val="28"/>
          <w:szCs w:val="28"/>
          <w:lang w:val="el-GR"/>
        </w:rPr>
        <w:t>του</w:t>
      </w:r>
      <w:r w:rsidRPr="006E22D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Συντάγματος</w:t>
      </w:r>
      <w:r w:rsidR="0045611C" w:rsidRPr="0045611C">
        <w:rPr>
          <w:rFonts w:ascii="Bookman Old Style" w:hAnsi="Bookman Old Style"/>
          <w:sz w:val="28"/>
          <w:szCs w:val="28"/>
          <w:lang w:val="el-GR"/>
        </w:rPr>
        <w:t xml:space="preserve">, όπως τροποποιήθηκε με τον </w:t>
      </w:r>
      <w:r w:rsidR="0045611C" w:rsidRPr="0045611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περί της Δέκατης Έβδομης Τροποποίησης του Συντάγματος Νόμο του 2022,</w:t>
      </w:r>
      <w:r w:rsidR="0045611C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45611C" w:rsidRPr="0045611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Ν.103(Ι)/2022</w:t>
      </w:r>
      <w:r w:rsidR="002509F5">
        <w:rPr>
          <w:rFonts w:ascii="Bookman Old Style" w:hAnsi="Bookman Old Style"/>
          <w:sz w:val="28"/>
          <w:szCs w:val="28"/>
          <w:lang w:val="el-GR"/>
        </w:rPr>
        <w:t xml:space="preserve">, </w:t>
      </w:r>
      <w:r>
        <w:rPr>
          <w:rFonts w:ascii="Bookman Old Style" w:hAnsi="Bookman Old Style"/>
          <w:sz w:val="28"/>
          <w:szCs w:val="28"/>
          <w:lang w:val="el-GR"/>
        </w:rPr>
        <w:t>προνοεί ότι κάθε διάδικος</w:t>
      </w:r>
      <w:r w:rsidR="00CD4C95">
        <w:rPr>
          <w:rFonts w:ascii="Bookman Old Style" w:hAnsi="Bookman Old Style"/>
          <w:sz w:val="28"/>
          <w:szCs w:val="28"/>
          <w:lang w:val="el-GR"/>
        </w:rPr>
        <w:t>,</w:t>
      </w:r>
      <w:r>
        <w:rPr>
          <w:rFonts w:ascii="Bookman Old Style" w:hAnsi="Bookman Old Style"/>
          <w:sz w:val="28"/>
          <w:szCs w:val="28"/>
          <w:lang w:val="el-GR"/>
        </w:rPr>
        <w:t xml:space="preserve"> σε οποιοδήποτε στάδιο της διαδικασίας, περιλαμβανομένης της κατ’ έφεση, δύναται να εγείρει ζήτημα αντισυνταγματικότητας νόμου για τη διάγνωση της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εκκρεμούσ</w:t>
      </w:r>
      <w:r w:rsidR="00CD4C95">
        <w:rPr>
          <w:rFonts w:ascii="Bookman Old Style" w:hAnsi="Bookman Old Style"/>
          <w:sz w:val="28"/>
          <w:szCs w:val="28"/>
          <w:lang w:val="el-GR"/>
        </w:rPr>
        <w:t>η</w:t>
      </w:r>
      <w:r>
        <w:rPr>
          <w:rFonts w:ascii="Bookman Old Style" w:hAnsi="Bookman Old Style"/>
          <w:sz w:val="28"/>
          <w:szCs w:val="28"/>
          <w:lang w:val="el-GR"/>
        </w:rPr>
        <w:t>ς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 ενώπιον του δικαστηρίου υπόθεσης. </w:t>
      </w:r>
    </w:p>
    <w:p w14:paraId="0D49885F" w14:textId="453BADE2" w:rsidR="00323185" w:rsidRDefault="00EE2C0E" w:rsidP="005E5278">
      <w:pPr>
        <w:spacing w:before="240"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="00822618" w:rsidRPr="0082261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</w:t>
      </w:r>
      <w:r w:rsidR="00822618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323185" w:rsidRPr="0082261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144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C70F6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4 </w:t>
      </w:r>
      <w:r w:rsidR="00C70F6F" w:rsidRPr="00C70F6F">
        <w:rPr>
          <w:rFonts w:ascii="Bookman Old Style" w:hAnsi="Bookman Old Style"/>
          <w:sz w:val="28"/>
          <w:szCs w:val="28"/>
          <w:lang w:val="el-GR"/>
        </w:rPr>
        <w:t>ρυθμίζει</w:t>
      </w:r>
      <w:r w:rsidR="00C70F6F">
        <w:rPr>
          <w:rFonts w:ascii="Bookman Old Style" w:hAnsi="Bookman Old Style"/>
          <w:sz w:val="28"/>
          <w:szCs w:val="28"/>
          <w:lang w:val="el-GR"/>
        </w:rPr>
        <w:t xml:space="preserve"> την παραπομπή από το Ανώτατο Δικαστήριο ζητήματος αντισυνταγματικότητας προς εκδίκαση από το Ανώτατο Συνταγματικό Δικαστήριο, </w:t>
      </w:r>
      <w:r w:rsidR="00240FC2">
        <w:rPr>
          <w:rFonts w:ascii="Bookman Old Style" w:hAnsi="Bookman Old Style"/>
          <w:sz w:val="28"/>
          <w:szCs w:val="28"/>
          <w:lang w:val="el-GR"/>
        </w:rPr>
        <w:t>ως ακολούθως</w:t>
      </w:r>
      <w:r w:rsidR="00240FC2" w:rsidRPr="00240FC2">
        <w:rPr>
          <w:rFonts w:ascii="Bookman Old Style" w:hAnsi="Bookman Old Style"/>
          <w:sz w:val="28"/>
          <w:szCs w:val="28"/>
          <w:lang w:val="el-GR"/>
        </w:rPr>
        <w:t>:</w:t>
      </w:r>
    </w:p>
    <w:p w14:paraId="7BD00708" w14:textId="679766D4" w:rsidR="00240FC2" w:rsidRPr="00EE2C0E" w:rsidRDefault="00240FC2" w:rsidP="005E5278">
      <w:pPr>
        <w:spacing w:before="240" w:after="0" w:line="240" w:lineRule="auto"/>
        <w:ind w:left="720"/>
        <w:jc w:val="both"/>
        <w:rPr>
          <w:rFonts w:ascii="Bookman Old Style" w:hAnsi="Bookman Old Style"/>
          <w:i/>
          <w:iCs/>
          <w:sz w:val="28"/>
          <w:szCs w:val="28"/>
          <w:lang w:val="el-GR"/>
        </w:rPr>
      </w:pPr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«(4) Παρά τις διατάξεις του εδαφίου (3), σε περίπτωση κατά την οποία ενώπιον του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Ανωτάτου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∆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ικαστηρίου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εγείρεται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ζήτηµα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αντισυνταγµατικότητας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νόµου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, απόφασης ή διάταξης αυτών ουσιώδους για τη διάγνωση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εκκρεµούσας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ενώπιόν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του υποθέσεως, το Ανώτατο</w:t>
      </w:r>
      <w:r w:rsidR="005E5278">
        <w:rPr>
          <w:rFonts w:ascii="Bookman Old Style" w:hAnsi="Bookman Old Style"/>
          <w:i/>
          <w:iCs/>
          <w:sz w:val="28"/>
          <w:szCs w:val="28"/>
          <w:lang w:val="el-GR"/>
        </w:rPr>
        <w:t xml:space="preserve"> Δ</w:t>
      </w:r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ικαστήριο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παραπέµπει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παρευθύς το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ζήτηµα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ενώπιον του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Ανωτάτου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Συνταγµατικού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∆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ικαστηρίου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και αναστέλλει την πρόοδο της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ενώπιόν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του διαδικασίας, µ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έχρις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ότου το Ανώτατο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Συνταγµατικό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∆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ικαστήριο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εκδικάσει το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ζήτηµα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,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σύµφωνα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µε την παράγραφο 2 και αποφανθεί επί του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παραπεµφθέντος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proofErr w:type="spellStart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ζητήµατος</w:t>
      </w:r>
      <w:proofErr w:type="spellEnd"/>
      <w:r w:rsidRPr="00240FC2">
        <w:rPr>
          <w:rFonts w:ascii="Bookman Old Style" w:hAnsi="Bookman Old Style"/>
          <w:i/>
          <w:iCs/>
          <w:sz w:val="28"/>
          <w:szCs w:val="28"/>
          <w:lang w:val="el-GR"/>
        </w:rPr>
        <w:t>.</w:t>
      </w:r>
      <w:r w:rsidRPr="00240FC2">
        <w:rPr>
          <w:rFonts w:ascii="Bookman Old Style" w:hAnsi="Bookman Old Style"/>
          <w:sz w:val="28"/>
          <w:szCs w:val="28"/>
          <w:lang w:val="el-GR"/>
        </w:rPr>
        <w:t>»</w:t>
      </w:r>
    </w:p>
    <w:p w14:paraId="16938CC7" w14:textId="77777777" w:rsidR="00EE2C0E" w:rsidRDefault="00EE2C0E" w:rsidP="00EE2C0E">
      <w:pPr>
        <w:spacing w:line="240" w:lineRule="auto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66D7457E" w14:textId="4A0CEA82" w:rsidR="00EE2C0E" w:rsidRDefault="00955814" w:rsidP="005E5278">
      <w:pPr>
        <w:spacing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="00CF276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144</w:t>
      </w:r>
      <w:r w:rsidR="00164DA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.4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CF2764">
        <w:rPr>
          <w:rFonts w:ascii="Bookman Old Style" w:hAnsi="Bookman Old Style"/>
          <w:sz w:val="28"/>
          <w:szCs w:val="28"/>
          <w:lang w:val="el-GR"/>
        </w:rPr>
        <w:t xml:space="preserve">καθορίζει το Ανώτατο Δικαστήριο ως το αρμόδιο Δικαστήριο να αποφασίσει κατά πόσο εγείρεται ζήτημα αντισυνταγματικότητας, τέτοιας φύσης που να επιβάλλεται η παραπομπή του στο Ανώτατο Συνταγματικό Δικαστήριο. Καθορίζει επίσης το τελευταίο ως το αρμόδιο Δικαστήριο να αποφασίσει επί του </w:t>
      </w:r>
      <w:r w:rsidR="00626077">
        <w:rPr>
          <w:rFonts w:ascii="Bookman Old Style" w:hAnsi="Bookman Old Style"/>
          <w:sz w:val="28"/>
          <w:szCs w:val="28"/>
          <w:lang w:val="el-GR"/>
        </w:rPr>
        <w:lastRenderedPageBreak/>
        <w:t xml:space="preserve">παραπεφθέντος </w:t>
      </w:r>
      <w:r w:rsidR="00CF2764">
        <w:rPr>
          <w:rFonts w:ascii="Bookman Old Style" w:hAnsi="Bookman Old Style"/>
          <w:sz w:val="28"/>
          <w:szCs w:val="28"/>
          <w:lang w:val="el-GR"/>
        </w:rPr>
        <w:t>ζητήματος αντισυνταγματικότητας</w:t>
      </w:r>
      <w:r w:rsidR="00C72EFC">
        <w:rPr>
          <w:rFonts w:ascii="Bookman Old Style" w:hAnsi="Bookman Old Style"/>
          <w:sz w:val="28"/>
          <w:szCs w:val="28"/>
          <w:lang w:val="el-GR"/>
        </w:rPr>
        <w:t>.</w:t>
      </w:r>
      <w:r w:rsidR="00CF2764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C72EFC">
        <w:rPr>
          <w:rFonts w:ascii="Bookman Old Style" w:hAnsi="Bookman Old Style"/>
          <w:sz w:val="28"/>
          <w:szCs w:val="28"/>
          <w:lang w:val="el-GR"/>
        </w:rPr>
        <w:t>Επομένως, το λεκτικό του ίδιου του Άρθρου δεν αφήνει οποιαδήποτε αμφιβολία ως προς το ότι είναι το Ανώτατο Δικαστήριο το οποίο αποφασί</w:t>
      </w:r>
      <w:r w:rsidR="00730BA1">
        <w:rPr>
          <w:rFonts w:ascii="Bookman Old Style" w:hAnsi="Bookman Old Style"/>
          <w:sz w:val="28"/>
          <w:szCs w:val="28"/>
          <w:lang w:val="el-GR"/>
        </w:rPr>
        <w:t>ζ</w:t>
      </w:r>
      <w:r w:rsidR="00C72EFC">
        <w:rPr>
          <w:rFonts w:ascii="Bookman Old Style" w:hAnsi="Bookman Old Style"/>
          <w:sz w:val="28"/>
          <w:szCs w:val="28"/>
          <w:lang w:val="el-GR"/>
        </w:rPr>
        <w:t xml:space="preserve">ει </w:t>
      </w:r>
      <w:r w:rsidR="005B506C">
        <w:rPr>
          <w:rFonts w:ascii="Bookman Old Style" w:hAnsi="Bookman Old Style"/>
          <w:sz w:val="28"/>
          <w:szCs w:val="28"/>
          <w:lang w:val="el-GR"/>
        </w:rPr>
        <w:t xml:space="preserve">κατά πόσο πράγματι εγείρεται τέτοιο ζήτημα, το οποίο μάλιστα είναι ουσιώδες για τη διάγνωση της υπόθεσης, για να ακολουθήσει η τυχόν παραπομπή του. </w:t>
      </w:r>
    </w:p>
    <w:p w14:paraId="57AAEE79" w14:textId="04F8DCDC" w:rsidR="00C53801" w:rsidRDefault="00BA762B" w:rsidP="005E5278">
      <w:pPr>
        <w:spacing w:before="240"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Αυτή άλλωστε </w:t>
      </w:r>
      <w:r w:rsidR="00DC61CD">
        <w:rPr>
          <w:rFonts w:ascii="Bookman Old Style" w:hAnsi="Bookman Old Style"/>
          <w:sz w:val="28"/>
          <w:szCs w:val="28"/>
          <w:lang w:val="el-GR"/>
        </w:rPr>
        <w:t xml:space="preserve">ήταν </w:t>
      </w:r>
      <w:r w:rsidR="00F36481">
        <w:rPr>
          <w:rFonts w:ascii="Bookman Old Style" w:hAnsi="Bookman Old Style"/>
          <w:sz w:val="28"/>
          <w:szCs w:val="28"/>
          <w:lang w:val="el-GR"/>
        </w:rPr>
        <w:t xml:space="preserve">και η αντίστοιχη προσέγγιση πριν τον διαχωρισμό του Ανωτάτου Δικαστηρίου </w:t>
      </w:r>
      <w:r w:rsidR="00092222">
        <w:rPr>
          <w:rFonts w:ascii="Bookman Old Style" w:hAnsi="Bookman Old Style"/>
          <w:sz w:val="28"/>
          <w:szCs w:val="28"/>
          <w:lang w:val="el-GR"/>
        </w:rPr>
        <w:t xml:space="preserve">με τον τροποποιητικό των </w:t>
      </w:r>
      <w:r w:rsidR="00092222" w:rsidRPr="0009222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περί Απονομής της Δικαιοσύνης (</w:t>
      </w:r>
      <w:proofErr w:type="spellStart"/>
      <w:r w:rsidR="00092222" w:rsidRPr="0009222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Ποικίλαι</w:t>
      </w:r>
      <w:proofErr w:type="spellEnd"/>
      <w:r w:rsidR="00092222" w:rsidRPr="0009222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Διατάξεις) Νόμων, Ν.145(Ι)/2022</w:t>
      </w:r>
      <w:r w:rsidR="00092222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F36481">
        <w:rPr>
          <w:rFonts w:ascii="Bookman Old Style" w:hAnsi="Bookman Old Style"/>
          <w:sz w:val="28"/>
          <w:szCs w:val="28"/>
          <w:lang w:val="el-GR"/>
        </w:rPr>
        <w:t xml:space="preserve">και την τροποποίηση του </w:t>
      </w:r>
      <w:r w:rsidR="00F36481" w:rsidRPr="00F3648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Άρθρου 144 </w:t>
      </w:r>
      <w:r w:rsidR="00F36481">
        <w:rPr>
          <w:rFonts w:ascii="Bookman Old Style" w:hAnsi="Bookman Old Style"/>
          <w:sz w:val="28"/>
          <w:szCs w:val="28"/>
          <w:lang w:val="el-GR"/>
        </w:rPr>
        <w:t xml:space="preserve">του </w:t>
      </w:r>
      <w:r w:rsidR="00F36481" w:rsidRPr="00F3648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Συντάγματος</w:t>
      </w:r>
      <w:r>
        <w:rPr>
          <w:rFonts w:ascii="Bookman Old Style" w:hAnsi="Bookman Old Style"/>
          <w:sz w:val="28"/>
          <w:szCs w:val="28"/>
          <w:lang w:val="el-GR"/>
        </w:rPr>
        <w:t xml:space="preserve">. Το </w:t>
      </w:r>
      <w:r w:rsidR="008D03F1">
        <w:rPr>
          <w:rFonts w:ascii="Bookman Old Style" w:hAnsi="Bookman Old Style"/>
          <w:sz w:val="28"/>
          <w:szCs w:val="28"/>
          <w:lang w:val="el-GR"/>
        </w:rPr>
        <w:t xml:space="preserve">παλαιό </w:t>
      </w:r>
      <w:r w:rsidRPr="00BA762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144</w:t>
      </w:r>
      <w:r>
        <w:rPr>
          <w:rFonts w:ascii="Bookman Old Style" w:hAnsi="Bookman Old Style"/>
          <w:sz w:val="28"/>
          <w:szCs w:val="28"/>
          <w:lang w:val="el-GR"/>
        </w:rPr>
        <w:t xml:space="preserve"> παρείχε τη δυνατότητα</w:t>
      </w:r>
      <w:r w:rsidR="00987455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D03F1">
        <w:rPr>
          <w:rFonts w:ascii="Bookman Old Style" w:hAnsi="Bookman Old Style"/>
          <w:sz w:val="28"/>
          <w:szCs w:val="28"/>
          <w:lang w:val="el-GR"/>
        </w:rPr>
        <w:t xml:space="preserve">σε οποιοδήποτε κατώτερο Δικαστήριο </w:t>
      </w:r>
      <w:r w:rsidR="002E1506">
        <w:rPr>
          <w:rFonts w:ascii="Bookman Old Style" w:hAnsi="Bookman Old Style"/>
          <w:sz w:val="28"/>
          <w:szCs w:val="28"/>
          <w:lang w:val="el-GR"/>
        </w:rPr>
        <w:t xml:space="preserve">ενώπιον του οποίου </w:t>
      </w:r>
      <w:proofErr w:type="spellStart"/>
      <w:r w:rsidR="002E1506">
        <w:rPr>
          <w:rFonts w:ascii="Bookman Old Style" w:hAnsi="Bookman Old Style"/>
          <w:sz w:val="28"/>
          <w:szCs w:val="28"/>
          <w:lang w:val="el-GR"/>
        </w:rPr>
        <w:t>εγείρετο</w:t>
      </w:r>
      <w:proofErr w:type="spellEnd"/>
      <w:r w:rsidR="002E1506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D03F1">
        <w:rPr>
          <w:rFonts w:ascii="Bookman Old Style" w:hAnsi="Bookman Old Style"/>
          <w:sz w:val="28"/>
          <w:szCs w:val="28"/>
          <w:lang w:val="el-GR"/>
        </w:rPr>
        <w:t>ζήτημα αντισυνταγματικότητας</w:t>
      </w:r>
      <w:r w:rsidR="005D3E3F">
        <w:rPr>
          <w:rFonts w:ascii="Bookman Old Style" w:hAnsi="Bookman Old Style"/>
          <w:sz w:val="28"/>
          <w:szCs w:val="28"/>
          <w:lang w:val="el-GR"/>
        </w:rPr>
        <w:t xml:space="preserve"> καθοριστικό για την έκβαση της υπόθεσης</w:t>
      </w:r>
      <w:r w:rsidR="002E1506">
        <w:rPr>
          <w:rFonts w:ascii="Bookman Old Style" w:hAnsi="Bookman Old Style"/>
          <w:sz w:val="28"/>
          <w:szCs w:val="28"/>
          <w:lang w:val="el-GR"/>
        </w:rPr>
        <w:t>,</w:t>
      </w:r>
      <w:r w:rsidR="008D03F1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2E1506">
        <w:rPr>
          <w:rFonts w:ascii="Bookman Old Style" w:hAnsi="Bookman Old Style"/>
          <w:sz w:val="28"/>
          <w:szCs w:val="28"/>
          <w:lang w:val="el-GR"/>
        </w:rPr>
        <w:t xml:space="preserve">να το παραπέμψει </w:t>
      </w:r>
      <w:r w:rsidR="005C1511">
        <w:rPr>
          <w:rFonts w:ascii="Bookman Old Style" w:hAnsi="Bookman Old Style"/>
          <w:sz w:val="28"/>
          <w:szCs w:val="28"/>
          <w:lang w:val="el-GR"/>
        </w:rPr>
        <w:t xml:space="preserve">στο τότε </w:t>
      </w:r>
      <w:r w:rsidR="00DC48E1">
        <w:rPr>
          <w:rFonts w:ascii="Bookman Old Style" w:hAnsi="Bookman Old Style"/>
          <w:sz w:val="28"/>
          <w:szCs w:val="28"/>
          <w:lang w:val="el-GR"/>
        </w:rPr>
        <w:t xml:space="preserve">αρμόδιο </w:t>
      </w:r>
      <w:r w:rsidR="005C1511">
        <w:rPr>
          <w:rFonts w:ascii="Bookman Old Style" w:hAnsi="Bookman Old Style"/>
          <w:sz w:val="28"/>
          <w:szCs w:val="28"/>
          <w:lang w:val="el-GR"/>
        </w:rPr>
        <w:t xml:space="preserve">Ανώτατο Δικαστήριο. </w:t>
      </w:r>
      <w:r w:rsidR="00024376">
        <w:rPr>
          <w:rFonts w:ascii="Bookman Old Style" w:hAnsi="Bookman Old Style"/>
          <w:sz w:val="28"/>
          <w:szCs w:val="28"/>
          <w:lang w:val="el-GR"/>
        </w:rPr>
        <w:t xml:space="preserve">Κατά τη διαχρονική εφαρμογή αυτής της Συνταγματικής πρόνοιας, είναι το κατώτερο Δικαστήριο που αποφάσιζε κατά πόσο </w:t>
      </w:r>
      <w:proofErr w:type="spellStart"/>
      <w:r w:rsidR="00024376">
        <w:rPr>
          <w:rFonts w:ascii="Bookman Old Style" w:hAnsi="Bookman Old Style"/>
          <w:sz w:val="28"/>
          <w:szCs w:val="28"/>
          <w:lang w:val="el-GR"/>
        </w:rPr>
        <w:t>εγείρετο</w:t>
      </w:r>
      <w:proofErr w:type="spellEnd"/>
      <w:r w:rsidR="00024376">
        <w:rPr>
          <w:rFonts w:ascii="Bookman Old Style" w:hAnsi="Bookman Old Style"/>
          <w:sz w:val="28"/>
          <w:szCs w:val="28"/>
          <w:lang w:val="el-GR"/>
        </w:rPr>
        <w:t xml:space="preserve"> ενώπιον του τέτοιο ζήτημα και</w:t>
      </w:r>
      <w:r w:rsidR="00730BA1">
        <w:rPr>
          <w:rFonts w:ascii="Bookman Old Style" w:hAnsi="Bookman Old Style"/>
          <w:sz w:val="28"/>
          <w:szCs w:val="28"/>
          <w:lang w:val="el-GR"/>
        </w:rPr>
        <w:t>,</w:t>
      </w:r>
      <w:r w:rsidR="00024376">
        <w:rPr>
          <w:rFonts w:ascii="Bookman Old Style" w:hAnsi="Bookman Old Style"/>
          <w:sz w:val="28"/>
          <w:szCs w:val="28"/>
          <w:lang w:val="el-GR"/>
        </w:rPr>
        <w:t xml:space="preserve"> ακολούθως</w:t>
      </w:r>
      <w:r w:rsidR="00730BA1">
        <w:rPr>
          <w:rFonts w:ascii="Bookman Old Style" w:hAnsi="Bookman Old Style"/>
          <w:sz w:val="28"/>
          <w:szCs w:val="28"/>
          <w:lang w:val="el-GR"/>
        </w:rPr>
        <w:t>,</w:t>
      </w:r>
      <w:r w:rsidR="00024376">
        <w:rPr>
          <w:rFonts w:ascii="Bookman Old Style" w:hAnsi="Bookman Old Style"/>
          <w:sz w:val="28"/>
          <w:szCs w:val="28"/>
          <w:lang w:val="el-GR"/>
        </w:rPr>
        <w:t xml:space="preserve"> κατά πόσο δικαιολ</w:t>
      </w:r>
      <w:r w:rsidR="00A237A7">
        <w:rPr>
          <w:rFonts w:ascii="Bookman Old Style" w:hAnsi="Bookman Old Style"/>
          <w:sz w:val="28"/>
          <w:szCs w:val="28"/>
          <w:lang w:val="el-GR"/>
        </w:rPr>
        <w:t>ο</w:t>
      </w:r>
      <w:r w:rsidR="00024376">
        <w:rPr>
          <w:rFonts w:ascii="Bookman Old Style" w:hAnsi="Bookman Old Style"/>
          <w:sz w:val="28"/>
          <w:szCs w:val="28"/>
          <w:lang w:val="el-GR"/>
        </w:rPr>
        <w:t>γείτο η παραπομπή του.</w:t>
      </w:r>
      <w:r w:rsidR="00413D55">
        <w:rPr>
          <w:rFonts w:ascii="Bookman Old Style" w:hAnsi="Bookman Old Style"/>
          <w:sz w:val="28"/>
          <w:szCs w:val="28"/>
          <w:lang w:val="el-GR"/>
        </w:rPr>
        <w:t xml:space="preserve"> Ενδεικτικά παραπέμπουμε στις υποθέσεις </w:t>
      </w:r>
      <w:r w:rsidR="00413D55" w:rsidRPr="00413D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Λοΐζου-Χριστοφόρου </w:t>
      </w:r>
      <w:r w:rsidR="00413D55" w:rsidRPr="00413D55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413D55" w:rsidRPr="00413D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Χριστοφόρου, Νομικό Ερώτημα </w:t>
      </w:r>
      <w:proofErr w:type="spellStart"/>
      <w:r w:rsidR="00413D55" w:rsidRPr="00413D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Αρ</w:t>
      </w:r>
      <w:proofErr w:type="spellEnd"/>
      <w:r w:rsidR="00413D55" w:rsidRPr="00413D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373, </w:t>
      </w:r>
      <w:proofErr w:type="spellStart"/>
      <w:r w:rsidR="00413D55" w:rsidRPr="00413D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ημερ</w:t>
      </w:r>
      <w:proofErr w:type="spellEnd"/>
      <w:r w:rsidR="00413D55" w:rsidRPr="00413D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2.5.2017</w:t>
      </w:r>
      <w:r w:rsidR="00413D55">
        <w:rPr>
          <w:rFonts w:ascii="Bookman Old Style" w:hAnsi="Bookman Old Style"/>
          <w:sz w:val="28"/>
          <w:szCs w:val="28"/>
          <w:lang w:val="el-GR"/>
        </w:rPr>
        <w:t xml:space="preserve">, </w:t>
      </w:r>
      <w:proofErr w:type="spellStart"/>
      <w:r w:rsidR="00274AB0" w:rsidRPr="00274AB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Ουζουνιάν</w:t>
      </w:r>
      <w:proofErr w:type="spellEnd"/>
      <w:r w:rsidR="00274AB0" w:rsidRPr="00274AB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274AB0" w:rsidRPr="00274AB0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274AB0" w:rsidRPr="009874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274AB0" w:rsidRPr="00274AB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Κωνσταντινίδου (2011) 1(Α) Α.Α.Δ. 177</w:t>
      </w:r>
      <w:r w:rsidR="00274AB0">
        <w:rPr>
          <w:rFonts w:ascii="Bookman Old Style" w:hAnsi="Bookman Old Style"/>
          <w:sz w:val="28"/>
          <w:szCs w:val="28"/>
          <w:lang w:val="el-GR"/>
        </w:rPr>
        <w:t xml:space="preserve">, </w:t>
      </w:r>
      <w:proofErr w:type="spellStart"/>
      <w:r w:rsidR="00987455" w:rsidRPr="009874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Ζένιου</w:t>
      </w:r>
      <w:proofErr w:type="spellEnd"/>
      <w:r w:rsidR="00987455" w:rsidRPr="009874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987455" w:rsidRPr="00987455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987455" w:rsidRPr="009874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proofErr w:type="spellStart"/>
      <w:r w:rsidR="00987455" w:rsidRPr="009874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lastRenderedPageBreak/>
        <w:t>Ζένιου</w:t>
      </w:r>
      <w:proofErr w:type="spellEnd"/>
      <w:r w:rsidR="00987455" w:rsidRPr="009874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</w:t>
      </w:r>
      <w:proofErr w:type="spellStart"/>
      <w:r w:rsidR="00987455" w:rsidRPr="009874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Αρ</w:t>
      </w:r>
      <w:proofErr w:type="spellEnd"/>
      <w:r w:rsidR="00987455" w:rsidRPr="009874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1) (2002) 1(Α) Α.Α.Δ. 445</w:t>
      </w:r>
      <w:r w:rsidR="009248AB">
        <w:rPr>
          <w:rFonts w:ascii="Bookman Old Style" w:hAnsi="Bookman Old Style"/>
          <w:sz w:val="28"/>
          <w:szCs w:val="28"/>
          <w:lang w:val="el-GR"/>
        </w:rPr>
        <w:t xml:space="preserve"> και </w:t>
      </w:r>
      <w:r w:rsidR="00F343F4" w:rsidRPr="00F343F4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Alpha</w:t>
      </w:r>
      <w:r w:rsidR="00F343F4" w:rsidRPr="00F343F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proofErr w:type="spellStart"/>
      <w:r w:rsidR="00F343F4" w:rsidRPr="00F343F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Concrete</w:t>
      </w:r>
      <w:proofErr w:type="spellEnd"/>
      <w:r w:rsidR="00F343F4" w:rsidRPr="00F343F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proofErr w:type="spellStart"/>
      <w:r w:rsidR="00F343F4" w:rsidRPr="00F343F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Ltd</w:t>
      </w:r>
      <w:proofErr w:type="spellEnd"/>
      <w:r w:rsidR="00F343F4" w:rsidRPr="00F343F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κ.ά. </w:t>
      </w:r>
      <w:r w:rsidR="00F343F4" w:rsidRPr="00F343F4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F343F4" w:rsidRPr="00F343F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Θωμά (2001) 1(Α) Α.Α.Δ. 594</w:t>
      </w:r>
      <w:r w:rsidR="009248AB">
        <w:rPr>
          <w:rFonts w:ascii="Bookman Old Style" w:hAnsi="Bookman Old Style"/>
          <w:sz w:val="28"/>
          <w:szCs w:val="28"/>
          <w:lang w:val="el-GR"/>
        </w:rPr>
        <w:t>.</w:t>
      </w:r>
      <w:r w:rsidR="00F343F4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16E8FD10" w14:textId="77777777" w:rsidR="00C53801" w:rsidRPr="00C53801" w:rsidRDefault="00C53801" w:rsidP="005E5278">
      <w:pPr>
        <w:spacing w:before="240"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Θεωρούμε διαφωτιστικό το ακόλουθο απόσπασμα από την υπόθεση </w:t>
      </w:r>
      <w:proofErr w:type="spellStart"/>
      <w:r w:rsidRPr="00C538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Παΐκκος</w:t>
      </w:r>
      <w:proofErr w:type="spellEnd"/>
      <w:r w:rsidRPr="00C538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κ.ά. </w:t>
      </w:r>
      <w:r w:rsidRPr="00C53801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Pr="00C538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proofErr w:type="spellStart"/>
      <w:r w:rsidRPr="00C538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Παΐκου</w:t>
      </w:r>
      <w:proofErr w:type="spellEnd"/>
      <w:r w:rsidRPr="00C538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κ.ά. (1994) 1(Α) Α.Α.Δ. 610</w:t>
      </w:r>
      <w:r w:rsidRPr="00C53801">
        <w:rPr>
          <w:rFonts w:ascii="Bookman Old Style" w:hAnsi="Bookman Old Style"/>
          <w:sz w:val="28"/>
          <w:szCs w:val="28"/>
          <w:lang w:val="el-GR"/>
        </w:rPr>
        <w:t>:</w:t>
      </w:r>
    </w:p>
    <w:p w14:paraId="2E139385" w14:textId="6EE3D2C4" w:rsidR="00C53801" w:rsidRPr="00BD741C" w:rsidRDefault="00C53801" w:rsidP="005E5278">
      <w:pPr>
        <w:shd w:val="clear" w:color="auto" w:fill="FFFFFF"/>
        <w:spacing w:before="240" w:after="0" w:line="240" w:lineRule="auto"/>
        <w:ind w:left="720" w:right="2"/>
        <w:jc w:val="both"/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</w:pPr>
      <w:r w:rsidRPr="00C53801">
        <w:rPr>
          <w:rFonts w:ascii="Bookman Old Style" w:hAnsi="Bookman Old Style"/>
          <w:sz w:val="28"/>
          <w:szCs w:val="28"/>
          <w:lang w:val="el-GR"/>
        </w:rPr>
        <w:t>«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Η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="00332E20"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παραπομπή 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γίνεται για ζήτημα αντισυνταγματικότητας νόμου, που εγείρεται κατά τη διάρκεια της διαδικασίας μιας υπόθεσης,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το οποίο είναι ουσιώδες για τη διάγνωση της υπόθεσης από το Δικαστήριο.</w:t>
      </w:r>
    </w:p>
    <w:p w14:paraId="314809DF" w14:textId="77777777" w:rsidR="003751B3" w:rsidRDefault="00C53801" w:rsidP="005E5278">
      <w:pPr>
        <w:shd w:val="clear" w:color="auto" w:fill="FFFFFF"/>
        <w:spacing w:before="240" w:after="0" w:line="240" w:lineRule="auto"/>
        <w:ind w:left="720" w:right="2"/>
        <w:jc w:val="both"/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</w:pP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Όταν το ζήτημα είναι ουσιώδες για τη διάγνωση της </w:t>
      </w:r>
      <w:proofErr w:type="spellStart"/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εκκρεμούσας</w:t>
      </w:r>
      <w:proofErr w:type="spellEnd"/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 υπόθεσης, το Δικαστήριο έχει υποχρέωση να το παραπέμψει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="00332E20"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στο Ανώτατο 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Δικαστήριο για απόφαση. Αν, όμως, κατά την κρίση του,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δεν είναι ουσιώδες, δεν το παραπέμπει. Κατά κανόνα αναφέρει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στην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="00332E20"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παραπομπή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ότι το ζήτημα είναι ουσιώδες για τη διάγνωση της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proofErr w:type="spellStart"/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ενώπιόν</w:t>
      </w:r>
      <w:proofErr w:type="spellEnd"/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 του υπόθεσης.</w:t>
      </w:r>
    </w:p>
    <w:p w14:paraId="5A730AF5" w14:textId="6D99686D" w:rsidR="00C53801" w:rsidRPr="003751B3" w:rsidRDefault="00C53801" w:rsidP="005E5278">
      <w:pPr>
        <w:shd w:val="clear" w:color="auto" w:fill="FFFFFF"/>
        <w:spacing w:before="240" w:after="0" w:line="240" w:lineRule="auto"/>
        <w:ind w:left="720" w:right="2"/>
        <w:jc w:val="both"/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</w:pP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u w:val="single"/>
          <w:lang w:val="el-GR"/>
          <w14:ligatures w14:val="none"/>
        </w:rPr>
        <w:t>Το Δικαστήριο που παραπέμπει πρέπει να διακριβώσει από το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u w:val="single"/>
          <w14:ligatures w14:val="none"/>
        </w:rPr>
        <w:t> 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u w:val="single"/>
          <w:lang w:val="el-GR"/>
          <w14:ligatures w14:val="none"/>
        </w:rPr>
        <w:t>διάδικο που εγείρει ζήτημα αντισυνταγματικότητας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 και να αναφέρει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ειδικά στην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="00332E20"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παραπομπή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του την προσβαλλόμενη νομοθετική διάταξη, το Άρθρο του Συντάγματος</w:t>
      </w:r>
      <w:r w:rsidR="00332E20"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 στο 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οποίο προσκρούει και τους λόγους που η νομοθετική διάταξη είναι ασύμφωνη ή αντίθετη με το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Άρθρο του Συντάγματος.</w:t>
      </w:r>
      <w:r w:rsidRPr="00BD741C">
        <w:rPr>
          <w:rFonts w:ascii="Bookman Old Style" w:eastAsia="Times New Roman" w:hAnsi="Bookman Old Style" w:cs="Times New Roman"/>
          <w:color w:val="000000"/>
          <w:kern w:val="0"/>
          <w:sz w:val="28"/>
          <w:szCs w:val="28"/>
          <w:lang w:val="el-GR"/>
          <w14:ligatures w14:val="none"/>
        </w:rPr>
        <w:t>»</w:t>
      </w:r>
    </w:p>
    <w:p w14:paraId="0101FBD6" w14:textId="77777777" w:rsidR="0041106B" w:rsidRDefault="0041106B" w:rsidP="00C53801">
      <w:pPr>
        <w:shd w:val="clear" w:color="auto" w:fill="FFFFFF"/>
        <w:spacing w:after="0" w:line="240" w:lineRule="auto"/>
        <w:ind w:left="283" w:right="2"/>
        <w:jc w:val="both"/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</w:pPr>
    </w:p>
    <w:p w14:paraId="3AB9FDE3" w14:textId="0C4DC822" w:rsidR="001B547C" w:rsidRPr="007D0DBA" w:rsidRDefault="0041106B" w:rsidP="005E5278">
      <w:pPr>
        <w:shd w:val="clear" w:color="auto" w:fill="FFFFFF"/>
        <w:spacing w:before="240" w:after="480" w:line="240" w:lineRule="auto"/>
        <w:ind w:left="720" w:right="2"/>
        <w:jc w:val="both"/>
        <w:rPr>
          <w:rFonts w:ascii="Bookman Old Style" w:eastAsia="Times New Roman" w:hAnsi="Bookman Old Style" w:cs="Times New Roman"/>
          <w:color w:val="000000"/>
          <w:kern w:val="0"/>
          <w:sz w:val="28"/>
          <w:szCs w:val="28"/>
          <w:lang w:val="el-GR"/>
          <w14:ligatures w14:val="none"/>
        </w:rPr>
      </w:pPr>
      <w:r w:rsidRPr="0041106B">
        <w:rPr>
          <w:rFonts w:ascii="Bookman Old Style" w:eastAsia="Times New Roman" w:hAnsi="Bookman Old Style" w:cs="Times New Roman"/>
          <w:color w:val="000000"/>
          <w:kern w:val="0"/>
          <w:sz w:val="28"/>
          <w:szCs w:val="28"/>
          <w:lang w:val="el-GR"/>
          <w14:ligatures w14:val="none"/>
        </w:rPr>
        <w:t>(Η υπογράμμιση είναι του παρόντος Δικαστηρίου)</w:t>
      </w:r>
    </w:p>
    <w:p w14:paraId="366239A5" w14:textId="4F320E7C" w:rsidR="008F37DE" w:rsidRDefault="008F37DE" w:rsidP="001B547C">
      <w:pPr>
        <w:spacing w:after="48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Ως εκ τούτου, </w:t>
      </w:r>
      <w:r w:rsidR="00730BA1">
        <w:rPr>
          <w:rFonts w:ascii="Bookman Old Style" w:hAnsi="Bookman Old Style"/>
          <w:sz w:val="28"/>
          <w:szCs w:val="28"/>
          <w:lang w:val="el-GR"/>
        </w:rPr>
        <w:t xml:space="preserve">καταλήγουμε ότι </w:t>
      </w:r>
      <w:r w:rsidR="00171963">
        <w:rPr>
          <w:rFonts w:ascii="Bookman Old Style" w:hAnsi="Bookman Old Style"/>
          <w:sz w:val="28"/>
          <w:szCs w:val="28"/>
          <w:lang w:val="el-GR"/>
        </w:rPr>
        <w:t xml:space="preserve">είναι </w:t>
      </w:r>
      <w:r>
        <w:rPr>
          <w:rFonts w:ascii="Bookman Old Style" w:hAnsi="Bookman Old Style"/>
          <w:sz w:val="28"/>
          <w:szCs w:val="28"/>
          <w:lang w:val="el-GR"/>
        </w:rPr>
        <w:t xml:space="preserve">το Ανώτατο Δικαστήριο </w:t>
      </w:r>
      <w:r w:rsidR="00171963">
        <w:rPr>
          <w:rFonts w:ascii="Bookman Old Style" w:hAnsi="Bookman Old Style"/>
          <w:sz w:val="28"/>
          <w:szCs w:val="28"/>
          <w:lang w:val="el-GR"/>
        </w:rPr>
        <w:t xml:space="preserve">που </w:t>
      </w:r>
      <w:r>
        <w:rPr>
          <w:rFonts w:ascii="Bookman Old Style" w:hAnsi="Bookman Old Style"/>
          <w:sz w:val="28"/>
          <w:szCs w:val="28"/>
          <w:lang w:val="el-GR"/>
        </w:rPr>
        <w:t xml:space="preserve">αποφασίζει κατά πόσο εγείρεται ζήτημα </w:t>
      </w:r>
      <w:r w:rsidR="00D13B54">
        <w:rPr>
          <w:rFonts w:ascii="Bookman Old Style" w:hAnsi="Bookman Old Style"/>
          <w:sz w:val="28"/>
          <w:szCs w:val="28"/>
          <w:lang w:val="el-GR"/>
        </w:rPr>
        <w:t>αντι</w:t>
      </w:r>
      <w:r>
        <w:rPr>
          <w:rFonts w:ascii="Bookman Old Style" w:hAnsi="Bookman Old Style"/>
          <w:sz w:val="28"/>
          <w:szCs w:val="28"/>
          <w:lang w:val="el-GR"/>
        </w:rPr>
        <w:t xml:space="preserve">συνταγματικότητας </w:t>
      </w:r>
      <w:r w:rsidR="00507CC7">
        <w:rPr>
          <w:rFonts w:ascii="Bookman Old Style" w:hAnsi="Bookman Old Style"/>
          <w:sz w:val="28"/>
          <w:szCs w:val="28"/>
          <w:lang w:val="el-GR"/>
        </w:rPr>
        <w:t xml:space="preserve">νόμου για να το παραπέμψει ή όχι στο Ανώτατο Συνταγματικό Δικαστήριο για εκδίκαση. </w:t>
      </w:r>
    </w:p>
    <w:p w14:paraId="61EAFFB5" w14:textId="77777777" w:rsidR="00BC6CF5" w:rsidRDefault="007B70D2" w:rsidP="005E5278">
      <w:pPr>
        <w:spacing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lastRenderedPageBreak/>
        <w:t xml:space="preserve">Έχει ήδη λεχθεί ότι το ζήτημα </w:t>
      </w:r>
      <w:r w:rsidR="00F428CA">
        <w:rPr>
          <w:rFonts w:ascii="Bookman Old Style" w:hAnsi="Bookman Old Style"/>
          <w:sz w:val="28"/>
          <w:szCs w:val="28"/>
          <w:lang w:val="el-GR"/>
        </w:rPr>
        <w:t>αντι</w:t>
      </w:r>
      <w:r>
        <w:rPr>
          <w:rFonts w:ascii="Bookman Old Style" w:hAnsi="Bookman Old Style"/>
          <w:sz w:val="28"/>
          <w:szCs w:val="28"/>
          <w:lang w:val="el-GR"/>
        </w:rPr>
        <w:t xml:space="preserve">συνταγματικότητας </w:t>
      </w:r>
      <w:r w:rsidR="00F428CA">
        <w:rPr>
          <w:rFonts w:ascii="Bookman Old Style" w:hAnsi="Bookman Old Style"/>
          <w:sz w:val="28"/>
          <w:szCs w:val="28"/>
          <w:lang w:val="el-GR"/>
        </w:rPr>
        <w:t xml:space="preserve">του </w:t>
      </w:r>
      <w:r w:rsidR="00F428CA" w:rsidRPr="00F428C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Ν.144(Ι)/2001</w:t>
      </w:r>
      <w:r w:rsidR="00F428CA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 xml:space="preserve">δεν ηγέρθη ούτε στην πρωτόδικη διαδικασία ούτε και στους λόγους έφεσης, ούτε καν στο περίγραμμα αγόρευσης του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Εφεσείοντος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, παρά μόνο προφορικά κατά την ακρόαση της Έφεσης. </w:t>
      </w:r>
    </w:p>
    <w:p w14:paraId="0F60AF41" w14:textId="7C43D303" w:rsidR="00BC6CF5" w:rsidRDefault="00BC6CF5" w:rsidP="005E5278">
      <w:pPr>
        <w:spacing w:before="240" w:after="48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Όπως αναφέρεται στον τροποποιητικό </w:t>
      </w:r>
      <w:r w:rsidRPr="00AB687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Ν.103(Ι)/2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022</w:t>
      </w:r>
      <w:r>
        <w:rPr>
          <w:rFonts w:ascii="Bookman Old Style" w:hAnsi="Bookman Old Style"/>
          <w:sz w:val="28"/>
          <w:szCs w:val="28"/>
          <w:lang w:val="el-GR"/>
        </w:rPr>
        <w:t xml:space="preserve">, αυτός θεσπίστηκε για να ρυθμίσει τον διαχωρισμό του Ανωτάτου Συνταγματικού Δικαστηρίου με το Ανώτατο Δικαστήριο.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Εξού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 και με αυτόν τον Νόμο, τροποποιήθηκε, μεταξύ άλλων, και το </w:t>
      </w:r>
      <w:r w:rsidRPr="00A20B2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144</w:t>
      </w:r>
      <w:r>
        <w:rPr>
          <w:rFonts w:ascii="Bookman Old Style" w:hAnsi="Bookman Old Style"/>
          <w:sz w:val="28"/>
          <w:szCs w:val="28"/>
          <w:lang w:val="el-GR"/>
        </w:rPr>
        <w:t xml:space="preserve"> που διέπει το θέμα της παραπομπής ζητήματος αντισυνταγματικότητας προς εκδίκαση</w:t>
      </w:r>
      <w:r w:rsidR="002F59D7">
        <w:rPr>
          <w:rFonts w:ascii="Bookman Old Style" w:hAnsi="Bookman Old Style"/>
          <w:sz w:val="28"/>
          <w:szCs w:val="28"/>
          <w:lang w:val="el-GR"/>
        </w:rPr>
        <w:t xml:space="preserve">, ακριβώς εισάγοντας πρόνοια η οποία παρέχει </w:t>
      </w:r>
      <w:r w:rsidR="00A76DE2">
        <w:rPr>
          <w:rFonts w:ascii="Bookman Old Style" w:hAnsi="Bookman Old Style"/>
          <w:sz w:val="28"/>
          <w:szCs w:val="28"/>
          <w:lang w:val="el-GR"/>
        </w:rPr>
        <w:t xml:space="preserve">εξουσία </w:t>
      </w:r>
      <w:r w:rsidR="002F59D7">
        <w:rPr>
          <w:rFonts w:ascii="Bookman Old Style" w:hAnsi="Bookman Old Style"/>
          <w:sz w:val="28"/>
          <w:szCs w:val="28"/>
          <w:lang w:val="el-GR"/>
        </w:rPr>
        <w:t xml:space="preserve">στο </w:t>
      </w:r>
      <w:proofErr w:type="spellStart"/>
      <w:r w:rsidR="002F59D7">
        <w:rPr>
          <w:rFonts w:ascii="Bookman Old Style" w:hAnsi="Bookman Old Style"/>
          <w:sz w:val="28"/>
          <w:szCs w:val="28"/>
          <w:lang w:val="el-GR"/>
        </w:rPr>
        <w:t>νεοσυσταθέν</w:t>
      </w:r>
      <w:proofErr w:type="spellEnd"/>
      <w:r w:rsidR="002F59D7">
        <w:rPr>
          <w:rFonts w:ascii="Bookman Old Style" w:hAnsi="Bookman Old Style"/>
          <w:sz w:val="28"/>
          <w:szCs w:val="28"/>
          <w:lang w:val="el-GR"/>
        </w:rPr>
        <w:t xml:space="preserve"> Ανώτατο Δικαστήριο να παραπέμψει ζήτημα αντισυνταγματικότητας στο </w:t>
      </w:r>
      <w:proofErr w:type="spellStart"/>
      <w:r w:rsidR="002F59D7">
        <w:rPr>
          <w:rFonts w:ascii="Bookman Old Style" w:hAnsi="Bookman Old Style"/>
          <w:sz w:val="28"/>
          <w:szCs w:val="28"/>
          <w:lang w:val="el-GR"/>
        </w:rPr>
        <w:t>νεοσυσταθέν</w:t>
      </w:r>
      <w:proofErr w:type="spellEnd"/>
      <w:r w:rsidR="002F59D7">
        <w:rPr>
          <w:rFonts w:ascii="Bookman Old Style" w:hAnsi="Bookman Old Style"/>
          <w:sz w:val="28"/>
          <w:szCs w:val="28"/>
          <w:lang w:val="el-GR"/>
        </w:rPr>
        <w:t xml:space="preserve"> Ανώτατο Συνταγματικό Δικαστήριο</w:t>
      </w:r>
      <w:r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2F59D7">
        <w:rPr>
          <w:rFonts w:ascii="Bookman Old Style" w:hAnsi="Bookman Old Style"/>
          <w:sz w:val="28"/>
          <w:szCs w:val="28"/>
          <w:lang w:val="el-GR"/>
        </w:rPr>
        <w:t xml:space="preserve">Αυτή βασικά ήταν η αλλαγή που επέφερε ο εν λόγω τροποποιητικός Νόμος. </w:t>
      </w:r>
      <w:r>
        <w:rPr>
          <w:rFonts w:ascii="Bookman Old Style" w:hAnsi="Bookman Old Style"/>
          <w:sz w:val="28"/>
          <w:szCs w:val="28"/>
          <w:lang w:val="el-GR"/>
        </w:rPr>
        <w:t xml:space="preserve">Με αυτό το δεδομένο, δεν υιοθετούμε την εισήγηση του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Εφεσείοντος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 ότι η τροποποίηση του </w:t>
      </w:r>
      <w:r w:rsidRPr="002F59D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144</w:t>
      </w:r>
      <w:r>
        <w:rPr>
          <w:rFonts w:ascii="Bookman Old Style" w:hAnsi="Bookman Old Style"/>
          <w:sz w:val="28"/>
          <w:szCs w:val="28"/>
          <w:lang w:val="el-GR"/>
        </w:rPr>
        <w:t xml:space="preserve"> επέφερε και διεύρυνση </w:t>
      </w:r>
      <w:r w:rsidR="008F52EC">
        <w:rPr>
          <w:rFonts w:ascii="Bookman Old Style" w:hAnsi="Bookman Old Style"/>
          <w:sz w:val="28"/>
          <w:szCs w:val="28"/>
          <w:lang w:val="el-GR"/>
        </w:rPr>
        <w:t xml:space="preserve">της </w:t>
      </w:r>
      <w:r>
        <w:rPr>
          <w:rFonts w:ascii="Bookman Old Style" w:hAnsi="Bookman Old Style"/>
          <w:sz w:val="28"/>
          <w:szCs w:val="28"/>
          <w:lang w:val="el-GR"/>
        </w:rPr>
        <w:t>ερμηνείας αυτού</w:t>
      </w:r>
      <w:r w:rsidR="005943BD">
        <w:rPr>
          <w:rFonts w:ascii="Bookman Old Style" w:hAnsi="Bookman Old Style"/>
          <w:sz w:val="28"/>
          <w:szCs w:val="28"/>
          <w:lang w:val="el-GR"/>
        </w:rPr>
        <w:t xml:space="preserve"> και ειδικότερα του όρου «</w:t>
      </w:r>
      <w:r w:rsidR="005943BD" w:rsidRPr="005943BD">
        <w:rPr>
          <w:rFonts w:ascii="Bookman Old Style" w:hAnsi="Bookman Old Style"/>
          <w:i/>
          <w:iCs/>
          <w:sz w:val="28"/>
          <w:szCs w:val="28"/>
          <w:lang w:val="el-GR"/>
        </w:rPr>
        <w:t>εγείρεται</w:t>
      </w:r>
      <w:r w:rsidR="005943BD">
        <w:rPr>
          <w:rFonts w:ascii="Bookman Old Style" w:hAnsi="Bookman Old Style"/>
          <w:sz w:val="28"/>
          <w:szCs w:val="28"/>
          <w:lang w:val="el-GR"/>
        </w:rPr>
        <w:t xml:space="preserve">», </w:t>
      </w:r>
      <w:r w:rsidR="008F52EC">
        <w:rPr>
          <w:rFonts w:ascii="Bookman Old Style" w:hAnsi="Bookman Old Style"/>
          <w:sz w:val="28"/>
          <w:szCs w:val="28"/>
          <w:lang w:val="el-GR"/>
        </w:rPr>
        <w:t>η</w:t>
      </w:r>
      <w:r w:rsidR="006E551D">
        <w:rPr>
          <w:rFonts w:ascii="Bookman Old Style" w:hAnsi="Bookman Old Style"/>
          <w:sz w:val="28"/>
          <w:szCs w:val="28"/>
          <w:lang w:val="el-GR"/>
        </w:rPr>
        <w:t xml:space="preserve"> οποί</w:t>
      </w:r>
      <w:r w:rsidR="008F52EC">
        <w:rPr>
          <w:rFonts w:ascii="Bookman Old Style" w:hAnsi="Bookman Old Style"/>
          <w:sz w:val="28"/>
          <w:szCs w:val="28"/>
          <w:lang w:val="el-GR"/>
        </w:rPr>
        <w:t>α</w:t>
      </w:r>
      <w:r w:rsidR="006E551D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>θεωρούμε ότι εξακολουθεί να ισχύει και τυγχάνει εφαρμογής</w:t>
      </w:r>
      <w:r w:rsidR="007360AB">
        <w:rPr>
          <w:rFonts w:ascii="Bookman Old Style" w:hAnsi="Bookman Old Style"/>
          <w:sz w:val="28"/>
          <w:szCs w:val="28"/>
          <w:lang w:val="el-GR"/>
        </w:rPr>
        <w:t xml:space="preserve"> ως αυτ</w:t>
      </w:r>
      <w:r w:rsidR="008F52EC">
        <w:rPr>
          <w:rFonts w:ascii="Bookman Old Style" w:hAnsi="Bookman Old Style"/>
          <w:sz w:val="28"/>
          <w:szCs w:val="28"/>
          <w:lang w:val="el-GR"/>
        </w:rPr>
        <w:t>ή</w:t>
      </w:r>
      <w:r w:rsidR="007360AB">
        <w:rPr>
          <w:rFonts w:ascii="Bookman Old Style" w:hAnsi="Bookman Old Style"/>
          <w:sz w:val="28"/>
          <w:szCs w:val="28"/>
          <w:lang w:val="el-GR"/>
        </w:rPr>
        <w:t xml:space="preserve"> υφίστατο κατά τον χρόνο πριν τον διαχωρισμό</w:t>
      </w:r>
      <w:r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28B3B603" w14:textId="155B72D1" w:rsidR="00BF5BF5" w:rsidRDefault="006E2F53" w:rsidP="005E5278">
      <w:pPr>
        <w:spacing w:before="240"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lastRenderedPageBreak/>
        <w:t>Το κατά πόσο ζήτημα αντισυνταγματικότητας «</w:t>
      </w:r>
      <w:r w:rsidRPr="006E2F53">
        <w:rPr>
          <w:rFonts w:ascii="Bookman Old Style" w:hAnsi="Bookman Old Style"/>
          <w:i/>
          <w:iCs/>
          <w:sz w:val="28"/>
          <w:szCs w:val="28"/>
          <w:lang w:val="el-GR"/>
        </w:rPr>
        <w:t>εγείρεται</w:t>
      </w:r>
      <w:r>
        <w:rPr>
          <w:rFonts w:ascii="Bookman Old Style" w:hAnsi="Bookman Old Style"/>
          <w:sz w:val="28"/>
          <w:szCs w:val="28"/>
          <w:lang w:val="el-GR"/>
        </w:rPr>
        <w:t xml:space="preserve">», δηλαδή εγείρεται νομότυπα, ενώπιον του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Ανωτάτου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 Δικαστηρίου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διέπεται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 από τους κανόνες λειτουργίας του Δικαστηρίου αυτού. </w:t>
      </w:r>
      <w:r w:rsidR="00475A4A">
        <w:rPr>
          <w:rFonts w:ascii="Bookman Old Style" w:hAnsi="Bookman Old Style"/>
          <w:sz w:val="28"/>
          <w:szCs w:val="28"/>
          <w:lang w:val="el-GR"/>
        </w:rPr>
        <w:t xml:space="preserve">Η διαδικασία ενώπιον του νέου </w:t>
      </w:r>
      <w:proofErr w:type="spellStart"/>
      <w:r w:rsidR="007B70D2">
        <w:rPr>
          <w:rFonts w:ascii="Bookman Old Style" w:hAnsi="Bookman Old Style"/>
          <w:sz w:val="28"/>
          <w:szCs w:val="28"/>
          <w:lang w:val="el-GR"/>
        </w:rPr>
        <w:t>Ανωτάτου</w:t>
      </w:r>
      <w:proofErr w:type="spellEnd"/>
      <w:r w:rsidR="007B70D2">
        <w:rPr>
          <w:rFonts w:ascii="Bookman Old Style" w:hAnsi="Bookman Old Style"/>
          <w:sz w:val="28"/>
          <w:szCs w:val="28"/>
          <w:lang w:val="el-GR"/>
        </w:rPr>
        <w:t xml:space="preserve"> Δικαστηρίου</w:t>
      </w:r>
      <w:r w:rsidR="00475A4A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475A4A">
        <w:rPr>
          <w:rFonts w:ascii="Bookman Old Style" w:hAnsi="Bookman Old Style"/>
          <w:sz w:val="28"/>
          <w:szCs w:val="28"/>
          <w:lang w:val="el-GR"/>
        </w:rPr>
        <w:t>διέπεται</w:t>
      </w:r>
      <w:proofErr w:type="spellEnd"/>
      <w:r w:rsidR="00475A4A">
        <w:rPr>
          <w:rFonts w:ascii="Bookman Old Style" w:hAnsi="Bookman Old Style"/>
          <w:sz w:val="28"/>
          <w:szCs w:val="28"/>
          <w:lang w:val="el-GR"/>
        </w:rPr>
        <w:t xml:space="preserve"> από τους </w:t>
      </w:r>
      <w:r w:rsidR="00AC517E">
        <w:rPr>
          <w:rFonts w:ascii="Bookman Old Style" w:hAnsi="Bookman Old Style"/>
          <w:sz w:val="28"/>
          <w:szCs w:val="28"/>
          <w:lang w:val="el-GR"/>
        </w:rPr>
        <w:t xml:space="preserve">νέους </w:t>
      </w:r>
      <w:r w:rsidR="003E40CD" w:rsidRPr="0056343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Διαδικαστικο</w:t>
      </w:r>
      <w:r w:rsidR="00475A4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ύς</w:t>
      </w:r>
      <w:r w:rsidR="003E40CD" w:rsidRPr="0056343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Κανονισμο</w:t>
      </w:r>
      <w:r w:rsidR="00475A4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ύς</w:t>
      </w:r>
      <w:r w:rsidR="003E40CD" w:rsidRPr="0056343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του Ανωτάτου Δικαστηρίου του 2023</w:t>
      </w:r>
      <w:r w:rsidR="00AC517E">
        <w:rPr>
          <w:rFonts w:ascii="Bookman Old Style" w:hAnsi="Bookman Old Style"/>
          <w:sz w:val="28"/>
          <w:szCs w:val="28"/>
          <w:lang w:val="el-GR"/>
        </w:rPr>
        <w:t>. Α</w:t>
      </w:r>
      <w:r w:rsidR="00475A4A">
        <w:rPr>
          <w:rFonts w:ascii="Bookman Old Style" w:hAnsi="Bookman Old Style"/>
          <w:sz w:val="28"/>
          <w:szCs w:val="28"/>
          <w:lang w:val="el-GR"/>
        </w:rPr>
        <w:t>ναφορικά με τις εφέσεις</w:t>
      </w:r>
      <w:r w:rsidR="00AC517E">
        <w:rPr>
          <w:rFonts w:ascii="Bookman Old Style" w:hAnsi="Bookman Old Style"/>
          <w:sz w:val="28"/>
          <w:szCs w:val="28"/>
          <w:lang w:val="el-GR"/>
        </w:rPr>
        <w:t xml:space="preserve"> ενώπιον του Ανωτάτου Δικαστηρίου</w:t>
      </w:r>
      <w:r w:rsidR="00475A4A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3E40CD">
        <w:rPr>
          <w:rFonts w:ascii="Bookman Old Style" w:hAnsi="Bookman Old Style"/>
          <w:sz w:val="28"/>
          <w:szCs w:val="28"/>
          <w:lang w:val="el-GR"/>
        </w:rPr>
        <w:t>εξακολουθεί να ισχύει και εφαρμόζεται</w:t>
      </w:r>
      <w:r w:rsidR="00563438">
        <w:rPr>
          <w:rFonts w:ascii="Bookman Old Style" w:hAnsi="Bookman Old Style"/>
          <w:sz w:val="28"/>
          <w:szCs w:val="28"/>
          <w:lang w:val="el-GR"/>
        </w:rPr>
        <w:t xml:space="preserve"> ο </w:t>
      </w:r>
      <w:r w:rsidR="00563438" w:rsidRPr="0056343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περί Εφέσεων (Προδικασία, Περιγράμματα Αγορεύσεων, Περιορισμός του Χρόνου του Προφορικών Αγορεύσεων και Συνοπτική Διαδικασία για την Απόρριψη Προδήλως Αβάσιμων Εφέσεων) Διαδικαστικό Κανονισμό του 1996 (4/1996)</w:t>
      </w:r>
      <w:r w:rsidR="00563438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BF5BF5">
        <w:rPr>
          <w:rFonts w:ascii="Bookman Old Style" w:hAnsi="Bookman Old Style"/>
          <w:sz w:val="28"/>
          <w:szCs w:val="28"/>
          <w:lang w:val="el-GR"/>
        </w:rPr>
        <w:t xml:space="preserve">Ο </w:t>
      </w:r>
      <w:r w:rsidR="00BF5BF5" w:rsidRPr="0073506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Καν. 4/1996</w:t>
      </w:r>
      <w:r w:rsidR="00BF5BF5">
        <w:rPr>
          <w:rFonts w:ascii="Bookman Old Style" w:hAnsi="Bookman Old Style"/>
          <w:sz w:val="28"/>
          <w:szCs w:val="28"/>
          <w:lang w:val="el-GR"/>
        </w:rPr>
        <w:t xml:space="preserve"> απαιτεί την εξέταση από το Δικαστήριο των λόγων έφεσης «</w:t>
      </w:r>
      <w:r w:rsidR="00BF5BF5" w:rsidRPr="00BA6957">
        <w:rPr>
          <w:rFonts w:ascii="Bookman Old Style" w:hAnsi="Bookman Old Style"/>
          <w:i/>
          <w:iCs/>
          <w:sz w:val="28"/>
          <w:szCs w:val="28"/>
          <w:lang w:val="el-GR"/>
        </w:rPr>
        <w:t>προς ακριβή προσδιορισμό των θεμάτων που εγείρουν</w:t>
      </w:r>
      <w:r w:rsidR="00BF5BF5">
        <w:rPr>
          <w:rFonts w:ascii="Bookman Old Style" w:hAnsi="Bookman Old Style"/>
          <w:sz w:val="28"/>
          <w:szCs w:val="28"/>
          <w:lang w:val="el-GR"/>
        </w:rPr>
        <w:t xml:space="preserve">». </w:t>
      </w:r>
    </w:p>
    <w:p w14:paraId="07EE3EF9" w14:textId="77777777" w:rsidR="0051483F" w:rsidRDefault="00985B56" w:rsidP="005E5278">
      <w:pPr>
        <w:pStyle w:val="apapaoi"/>
        <w:overflowPunct w:val="0"/>
        <w:spacing w:before="240" w:line="480" w:lineRule="auto"/>
        <w:ind w:firstLine="567"/>
        <w:rPr>
          <w:rFonts w:ascii="Bookman Old Style" w:hAnsi="Bookman Old Style" w:cs="Arial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Επομένως, θ</w:t>
      </w:r>
      <w:r w:rsidR="007932D1" w:rsidRPr="00F20C12">
        <w:rPr>
          <w:rFonts w:ascii="Bookman Old Style" w:hAnsi="Bookman Old Style"/>
          <w:sz w:val="28"/>
          <w:szCs w:val="28"/>
          <w:lang w:val="el-GR"/>
        </w:rPr>
        <w:t>εωρούμε ότι ανεξαρτήτως του διαχωρισμού του Ανωτάτου Δικαστηρίου</w:t>
      </w:r>
      <w:r w:rsidR="00104FA9" w:rsidRPr="00F20C12">
        <w:rPr>
          <w:rFonts w:ascii="Bookman Old Style" w:hAnsi="Bookman Old Style"/>
          <w:sz w:val="28"/>
          <w:szCs w:val="28"/>
          <w:lang w:val="el-GR"/>
        </w:rPr>
        <w:t xml:space="preserve"> και της συνακόλουθης τροποποίησης του </w:t>
      </w:r>
      <w:r w:rsidR="00104FA9" w:rsidRPr="00F20C1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144</w:t>
      </w:r>
      <w:r w:rsidR="007932D1" w:rsidRPr="00F20C12">
        <w:rPr>
          <w:rFonts w:ascii="Bookman Old Style" w:hAnsi="Bookman Old Style"/>
          <w:sz w:val="28"/>
          <w:szCs w:val="28"/>
          <w:lang w:val="el-GR"/>
        </w:rPr>
        <w:t>, η νομολογία που αφορά το ζήτημα εξακολουθεί να ισχύει και τυγχάνει εφαρμογής.</w:t>
      </w:r>
      <w:r w:rsidR="003259F7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</w:p>
    <w:p w14:paraId="02E12AC2" w14:textId="3CF2301D" w:rsidR="00F20C12" w:rsidRDefault="00F20C12" w:rsidP="005E5278">
      <w:pPr>
        <w:pStyle w:val="apapaoi"/>
        <w:overflowPunct w:val="0"/>
        <w:spacing w:before="240" w:line="480" w:lineRule="auto"/>
        <w:ind w:firstLine="567"/>
        <w:rPr>
          <w:rFonts w:ascii="Bookman Old Style" w:hAnsi="Bookman Old Style" w:cs="Arial"/>
          <w:color w:val="000000"/>
          <w:sz w:val="28"/>
          <w:szCs w:val="28"/>
          <w:lang w:val="el-GR"/>
        </w:rPr>
      </w:pPr>
      <w:r w:rsidRPr="00F20C12">
        <w:rPr>
          <w:rFonts w:ascii="Bookman Old Style" w:hAnsi="Bookman Old Style" w:cs="Arial"/>
          <w:sz w:val="28"/>
          <w:szCs w:val="28"/>
          <w:lang w:val="el-GR"/>
        </w:rPr>
        <w:t xml:space="preserve">Αποτελεί πάγια </w:t>
      </w:r>
      <w:proofErr w:type="spellStart"/>
      <w:r w:rsidRPr="00F20C12">
        <w:rPr>
          <w:rFonts w:ascii="Bookman Old Style" w:hAnsi="Bookman Old Style" w:cs="Arial"/>
          <w:sz w:val="28"/>
          <w:szCs w:val="28"/>
          <w:lang w:val="el-GR"/>
        </w:rPr>
        <w:t>νομολογιακή</w:t>
      </w:r>
      <w:proofErr w:type="spellEnd"/>
      <w:r w:rsidRPr="00F20C12">
        <w:rPr>
          <w:rFonts w:ascii="Bookman Old Style" w:hAnsi="Bookman Old Style" w:cs="Arial"/>
          <w:sz w:val="28"/>
          <w:szCs w:val="28"/>
          <w:lang w:val="el-GR"/>
        </w:rPr>
        <w:t xml:space="preserve"> αρχή πως ζήτημα αντισυνταγματικότητας </w:t>
      </w:r>
      <w:r w:rsidRPr="00F20C12"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συνιστά νομικό θέμα ιδιάζουσας σημασίας και </w:t>
      </w:r>
      <w:r w:rsidRPr="00F20C12">
        <w:rPr>
          <w:rFonts w:ascii="Bookman Old Style" w:hAnsi="Bookman Old Style" w:cs="Arial"/>
          <w:color w:val="000000"/>
          <w:sz w:val="28"/>
          <w:szCs w:val="28"/>
          <w:lang w:val="el-GR"/>
        </w:rPr>
        <w:lastRenderedPageBreak/>
        <w:t xml:space="preserve">σπουδαιότητας και ως τέτοιο </w:t>
      </w:r>
      <w:r w:rsidRPr="00F20C12">
        <w:rPr>
          <w:rFonts w:ascii="Bookman Old Style" w:hAnsi="Bookman Old Style" w:cs="Arial"/>
          <w:sz w:val="28"/>
          <w:szCs w:val="28"/>
          <w:lang w:val="el-GR"/>
        </w:rPr>
        <w:t>δεν εξετάζεται αυτεπάγγελτα από το Δικαστήριο</w:t>
      </w:r>
      <w:r w:rsidR="00BE2889">
        <w:rPr>
          <w:rFonts w:ascii="Bookman Old Style" w:hAnsi="Bookman Old Style" w:cs="Arial"/>
          <w:sz w:val="28"/>
          <w:szCs w:val="28"/>
          <w:lang w:val="el-GR"/>
        </w:rPr>
        <w:t>,</w:t>
      </w:r>
      <w:r w:rsidRPr="00F20C12">
        <w:rPr>
          <w:rFonts w:ascii="Bookman Old Style" w:hAnsi="Bookman Old Style" w:cs="Arial"/>
          <w:sz w:val="28"/>
          <w:szCs w:val="28"/>
          <w:lang w:val="el-GR"/>
        </w:rPr>
        <w:t xml:space="preserve"> αλλά θα πρέπει να περιλαμβάνεται στη δικογραφία και μάλιστα να εγείρεται εξειδικευμένα και με λεπτομέρεια. Σχετικές είναι οι υποθέσεις </w:t>
      </w:r>
      <w:proofErr w:type="spellStart"/>
      <w:r w:rsidRPr="00F20C12">
        <w:rPr>
          <w:rFonts w:ascii="Bookman Old Style" w:hAnsi="Bookman Old Style" w:cs="Arial"/>
          <w:b/>
          <w:bCs/>
          <w:i/>
          <w:iCs/>
          <w:sz w:val="28"/>
          <w:szCs w:val="28"/>
          <w:lang w:val="el-GR"/>
        </w:rPr>
        <w:t>Πιπονίδη</w:t>
      </w:r>
      <w:proofErr w:type="spellEnd"/>
      <w:r w:rsidRPr="00F20C12">
        <w:rPr>
          <w:rFonts w:ascii="Bookman Old Style" w:hAnsi="Bookman Old Style" w:cs="Arial"/>
          <w:b/>
          <w:bCs/>
          <w:i/>
          <w:iCs/>
          <w:sz w:val="28"/>
          <w:szCs w:val="28"/>
          <w:lang w:val="el-GR"/>
        </w:rPr>
        <w:t xml:space="preserve"> </w:t>
      </w:r>
      <w:r w:rsidRPr="00F20C12">
        <w:rPr>
          <w:rFonts w:ascii="Bookman Old Style" w:hAnsi="Bookman Old Style" w:cs="Arial"/>
          <w:b/>
          <w:bCs/>
          <w:i/>
          <w:iCs/>
          <w:sz w:val="28"/>
          <w:szCs w:val="28"/>
          <w:lang w:val="en-GB"/>
        </w:rPr>
        <w:t>v</w:t>
      </w:r>
      <w:r w:rsidRPr="00F20C12">
        <w:rPr>
          <w:rFonts w:ascii="Bookman Old Style" w:hAnsi="Bookman Old Style" w:cs="Arial"/>
          <w:b/>
          <w:bCs/>
          <w:i/>
          <w:iCs/>
          <w:sz w:val="28"/>
          <w:szCs w:val="28"/>
          <w:lang w:val="el-GR"/>
        </w:rPr>
        <w:t xml:space="preserve">. Ελληνικής Τράπεζας κ.ά., Πολ. Έφεση </w:t>
      </w:r>
      <w:proofErr w:type="spellStart"/>
      <w:r w:rsidRPr="00F20C12">
        <w:rPr>
          <w:rFonts w:ascii="Bookman Old Style" w:hAnsi="Bookman Old Style" w:cs="Arial"/>
          <w:b/>
          <w:bCs/>
          <w:i/>
          <w:iCs/>
          <w:sz w:val="28"/>
          <w:szCs w:val="28"/>
          <w:lang w:val="el-GR"/>
        </w:rPr>
        <w:t>Αρ</w:t>
      </w:r>
      <w:proofErr w:type="spellEnd"/>
      <w:r w:rsidRPr="00F20C12">
        <w:rPr>
          <w:rFonts w:ascii="Bookman Old Style" w:hAnsi="Bookman Old Style" w:cs="Arial"/>
          <w:b/>
          <w:bCs/>
          <w:i/>
          <w:iCs/>
          <w:sz w:val="28"/>
          <w:szCs w:val="28"/>
          <w:lang w:val="el-GR"/>
        </w:rPr>
        <w:t xml:space="preserve">. 429/2011, </w:t>
      </w:r>
      <w:proofErr w:type="spellStart"/>
      <w:r w:rsidRPr="00F20C12">
        <w:rPr>
          <w:rFonts w:ascii="Bookman Old Style" w:hAnsi="Bookman Old Style" w:cs="Arial"/>
          <w:b/>
          <w:bCs/>
          <w:i/>
          <w:iCs/>
          <w:sz w:val="28"/>
          <w:szCs w:val="28"/>
          <w:lang w:val="el-GR"/>
        </w:rPr>
        <w:t>ημερ</w:t>
      </w:r>
      <w:proofErr w:type="spellEnd"/>
      <w:r w:rsidRPr="00F20C12">
        <w:rPr>
          <w:rFonts w:ascii="Bookman Old Style" w:hAnsi="Bookman Old Style" w:cs="Arial"/>
          <w:b/>
          <w:bCs/>
          <w:i/>
          <w:iCs/>
          <w:sz w:val="28"/>
          <w:szCs w:val="28"/>
          <w:lang w:val="el-GR"/>
        </w:rPr>
        <w:t>. 6.12.2017</w:t>
      </w:r>
      <w:r>
        <w:rPr>
          <w:rFonts w:ascii="Bookman Old Style" w:hAnsi="Bookman Old Style" w:cs="Arial"/>
          <w:sz w:val="28"/>
          <w:szCs w:val="28"/>
          <w:lang w:val="el-GR"/>
        </w:rPr>
        <w:t xml:space="preserve">, </w:t>
      </w:r>
      <w:r w:rsidR="0051483F" w:rsidRPr="00F20C12"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 xml:space="preserve">Αχιλλέως κ.ά. </w:t>
      </w:r>
      <w:r w:rsidR="0051483F" w:rsidRPr="00F20C12">
        <w:rPr>
          <w:rFonts w:ascii="Bookman Old Style" w:hAnsi="Bookman Old Style" w:cs="Arial"/>
          <w:b/>
          <w:i/>
          <w:iCs/>
          <w:sz w:val="28"/>
          <w:szCs w:val="28"/>
        </w:rPr>
        <w:t>v</w:t>
      </w:r>
      <w:r w:rsidR="0051483F" w:rsidRPr="00F20C12"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 xml:space="preserve">. </w:t>
      </w:r>
      <w:proofErr w:type="spellStart"/>
      <w:r w:rsidR="0051483F" w:rsidRPr="00F20C12"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>Πιττάρα</w:t>
      </w:r>
      <w:proofErr w:type="spellEnd"/>
      <w:r w:rsidR="0051483F" w:rsidRPr="00F20C12"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 xml:space="preserve"> κ.ά. (2012) 1(Β) Α.Α.Δ. 1590</w:t>
      </w:r>
      <w:r w:rsidR="0051483F" w:rsidRPr="0051483F">
        <w:rPr>
          <w:rFonts w:ascii="Bookman Old Style" w:hAnsi="Bookman Old Style" w:cs="Arial"/>
          <w:bCs/>
          <w:sz w:val="28"/>
          <w:szCs w:val="28"/>
          <w:lang w:val="el-GR"/>
        </w:rPr>
        <w:t xml:space="preserve">, </w:t>
      </w:r>
      <w:r w:rsidRPr="00F20C12"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 xml:space="preserve">Τσολάκη </w:t>
      </w:r>
      <w:r w:rsidRPr="00F20C12">
        <w:rPr>
          <w:rFonts w:ascii="Bookman Old Style" w:hAnsi="Bookman Old Style" w:cs="Arial"/>
          <w:b/>
          <w:i/>
          <w:iCs/>
          <w:sz w:val="28"/>
          <w:szCs w:val="28"/>
        </w:rPr>
        <w:t>v</w:t>
      </w:r>
      <w:r w:rsidRPr="00F20C12"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>. Στυλιανού κ.ά. (2005) 3 Α.Α.Δ. 528</w:t>
      </w:r>
      <w:r w:rsidRPr="00F20C12">
        <w:rPr>
          <w:rFonts w:ascii="Bookman Old Style" w:hAnsi="Bookman Old Style" w:cs="Arial"/>
          <w:sz w:val="28"/>
          <w:szCs w:val="28"/>
          <w:lang w:val="el-GR"/>
        </w:rPr>
        <w:t xml:space="preserve">, </w:t>
      </w:r>
      <w:r w:rsidRPr="00F20C12">
        <w:rPr>
          <w:rFonts w:ascii="Bookman Old Style" w:hAnsi="Bookman Old Style" w:cs="Arial"/>
          <w:b/>
          <w:i/>
          <w:iCs/>
          <w:color w:val="000000"/>
          <w:sz w:val="28"/>
          <w:szCs w:val="28"/>
          <w:lang w:val="el-GR"/>
        </w:rPr>
        <w:t xml:space="preserve">Μαυρομμάτης </w:t>
      </w:r>
      <w:r w:rsidRPr="00F20C12">
        <w:rPr>
          <w:rFonts w:ascii="Bookman Old Style" w:hAnsi="Bookman Old Style" w:cs="Arial"/>
          <w:b/>
          <w:i/>
          <w:iCs/>
          <w:color w:val="000000"/>
          <w:sz w:val="28"/>
          <w:szCs w:val="28"/>
        </w:rPr>
        <w:t>v</w:t>
      </w:r>
      <w:r w:rsidRPr="00F20C12">
        <w:rPr>
          <w:rFonts w:ascii="Bookman Old Style" w:hAnsi="Bookman Old Style" w:cs="Arial"/>
          <w:b/>
          <w:i/>
          <w:iCs/>
          <w:color w:val="000000"/>
          <w:sz w:val="28"/>
          <w:szCs w:val="28"/>
          <w:lang w:val="el-GR"/>
        </w:rPr>
        <w:t xml:space="preserve">. Δημοκρατίας (1998) 3 Α.Α.Δ. 910 </w:t>
      </w:r>
      <w:r w:rsidRPr="00F20C12"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και </w:t>
      </w:r>
      <w:r w:rsidRPr="00F20C12">
        <w:rPr>
          <w:rFonts w:ascii="Bookman Old Style" w:hAnsi="Bookman Old Style" w:cs="Arial"/>
          <w:b/>
          <w:i/>
          <w:iCs/>
          <w:color w:val="000000"/>
          <w:sz w:val="28"/>
          <w:szCs w:val="28"/>
          <w:lang w:val="el-GR"/>
        </w:rPr>
        <w:t xml:space="preserve">Δημοκρατία </w:t>
      </w:r>
      <w:r w:rsidRPr="00F20C12">
        <w:rPr>
          <w:rFonts w:ascii="Bookman Old Style" w:hAnsi="Bookman Old Style" w:cs="Arial"/>
          <w:b/>
          <w:i/>
          <w:iCs/>
          <w:color w:val="000000"/>
          <w:sz w:val="28"/>
          <w:szCs w:val="28"/>
        </w:rPr>
        <w:t>v</w:t>
      </w:r>
      <w:r w:rsidRPr="00F20C12">
        <w:rPr>
          <w:rFonts w:ascii="Bookman Old Style" w:hAnsi="Bookman Old Style" w:cs="Arial"/>
          <w:b/>
          <w:i/>
          <w:iCs/>
          <w:color w:val="000000"/>
          <w:sz w:val="28"/>
          <w:szCs w:val="28"/>
          <w:lang w:val="el-GR"/>
        </w:rPr>
        <w:t xml:space="preserve">. </w:t>
      </w:r>
      <w:proofErr w:type="spellStart"/>
      <w:r w:rsidRPr="00F20C12">
        <w:rPr>
          <w:rFonts w:ascii="Bookman Old Style" w:hAnsi="Bookman Old Style" w:cs="Arial"/>
          <w:b/>
          <w:i/>
          <w:iCs/>
          <w:color w:val="000000"/>
          <w:sz w:val="28"/>
          <w:szCs w:val="28"/>
          <w:lang w:val="el-GR"/>
        </w:rPr>
        <w:t>Πογιατζή</w:t>
      </w:r>
      <w:proofErr w:type="spellEnd"/>
      <w:r w:rsidRPr="00F20C12">
        <w:rPr>
          <w:rFonts w:ascii="Bookman Old Style" w:hAnsi="Bookman Old Style" w:cs="Arial"/>
          <w:b/>
          <w:i/>
          <w:iCs/>
          <w:color w:val="000000"/>
          <w:sz w:val="28"/>
          <w:szCs w:val="28"/>
          <w:lang w:val="el-GR"/>
        </w:rPr>
        <w:t xml:space="preserve"> (1992) 3 Α.Α.Δ. 196</w:t>
      </w:r>
      <w:r w:rsidRPr="00F20C12"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. </w:t>
      </w:r>
    </w:p>
    <w:p w14:paraId="59FA0308" w14:textId="72A9D6DA" w:rsidR="0051483F" w:rsidRPr="00BD741C" w:rsidRDefault="0051483F" w:rsidP="005E5278">
      <w:pPr>
        <w:pStyle w:val="apapaoi"/>
        <w:overflowPunct w:val="0"/>
        <w:spacing w:before="240" w:line="480" w:lineRule="auto"/>
        <w:ind w:firstLine="567"/>
        <w:rPr>
          <w:rFonts w:ascii="Bookman Old Style" w:hAnsi="Bookman Old Style" w:cs="Arial"/>
          <w:color w:val="000000"/>
          <w:sz w:val="28"/>
          <w:szCs w:val="28"/>
          <w:lang w:val="el-GR"/>
        </w:rPr>
      </w:pP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Στην υπόθεση </w:t>
      </w:r>
      <w:r w:rsidRPr="0051483F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lang w:val="el-GR"/>
        </w:rPr>
        <w:t xml:space="preserve">Νικολάου </w:t>
      </w:r>
      <w:r w:rsidRPr="0051483F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>v</w:t>
      </w:r>
      <w:r w:rsidRPr="0051483F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lang w:val="el-GR"/>
        </w:rPr>
        <w:t>. Βασιλείου (1999) 1(Γ) Α.Α.Δ. 15</w:t>
      </w:r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lang w:val="el-GR"/>
        </w:rPr>
        <w:t xml:space="preserve">66 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ο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>εφεσείων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 είχε </w:t>
      </w:r>
      <w:r w:rsidR="003724C5"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υποστηρίξει ενώπιον του Εφετείου 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ότι η γραπτή γνωστοποίηση προς τον Γενικό Εισαγγελέα δυνάμει του τότε εν ισχύι </w:t>
      </w:r>
      <w:r w:rsidRPr="0051483F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lang w:val="el-GR"/>
        </w:rPr>
        <w:t>άρθρου 67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 του </w:t>
      </w:r>
      <w:r w:rsidRPr="0051483F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lang w:val="el-GR"/>
        </w:rPr>
        <w:t>περί Αστικών Αδικημάτων Νόμου, Κεφ. 148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,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>αντίκειτο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 στα </w:t>
      </w:r>
      <w:r w:rsidRPr="0051483F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lang w:val="el-GR"/>
        </w:rPr>
        <w:t>Άρθρα 30 και 152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 του </w:t>
      </w:r>
      <w:r w:rsidRPr="0051483F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lang w:val="el-GR"/>
        </w:rPr>
        <w:t>Συντάγματος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>. Το Ανώτατο Δικαστήριο ανέφερε τα ακόλουθα</w:t>
      </w:r>
      <w:r w:rsidRPr="00BD741C">
        <w:rPr>
          <w:rFonts w:ascii="Bookman Old Style" w:hAnsi="Bookman Old Style" w:cs="Arial"/>
          <w:color w:val="000000"/>
          <w:sz w:val="28"/>
          <w:szCs w:val="28"/>
          <w:lang w:val="el-GR"/>
        </w:rPr>
        <w:t>:</w:t>
      </w:r>
    </w:p>
    <w:p w14:paraId="00B64D0F" w14:textId="51DA5055" w:rsidR="00FC1EDD" w:rsidRPr="00FC1EDD" w:rsidRDefault="00FC1EDD" w:rsidP="005E5278">
      <w:pPr>
        <w:shd w:val="clear" w:color="auto" w:fill="FFFFFF"/>
        <w:spacing w:before="240" w:line="240" w:lineRule="auto"/>
        <w:ind w:left="720"/>
        <w:jc w:val="both"/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FC1EDD">
        <w:rPr>
          <w:rFonts w:ascii="Bookman Old Style" w:hAnsi="Bookman Old Style" w:cs="Arial"/>
          <w:color w:val="000000"/>
          <w:sz w:val="28"/>
          <w:szCs w:val="28"/>
          <w:lang w:val="el-GR"/>
        </w:rPr>
        <w:t>«</w:t>
      </w:r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Ο </w:t>
      </w:r>
      <w:proofErr w:type="spellStart"/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εφεσείων</w:t>
      </w:r>
      <w:proofErr w:type="spellEnd"/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 xml:space="preserve"> δεν έχει συμμορφωθεί με τη διαδικασία η οποία έχει καθιερωθεί από τη νομολογία για την έγερση θέματος συνταγματικότητας. Έπρεπε να είχε εγείρει το θέμα εξειδικευμένα και με πλήρη λεπτομέρεια στο δικόγραφο του ή έπρεπε να το είχε διατυπώσει με λεπτομερές υπόμνημα (Βλ.</w:t>
      </w:r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Improvement Board of 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Eylenja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v. Constantinou </w:t>
      </w:r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(1967) 1 C.L.R. 167, 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Κυρι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ακίδης 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κ.ά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. ν. 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Εφόρου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Φ.Π.Α. </w:t>
      </w:r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(1999) 2 Α.Α.Δ. 75, </w:t>
      </w:r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Βα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ρνά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βας 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Νικολάου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και 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Υιοί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Λτδ ν. 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Δημοκρ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ατίας </w:t>
      </w:r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(1998) 3 Α.Α.Δ. 862, 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Δημοκρ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ατία ν. Βα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ρν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αβίδη 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κ.ά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. </w:t>
      </w:r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(1998) 3 Α.Α.Δ. 851 και </w:t>
      </w:r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Μα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υρομμάτης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ν. </w:t>
      </w:r>
      <w:proofErr w:type="spellStart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Δημοκρ</w:t>
      </w:r>
      <w:proofErr w:type="spellEnd"/>
      <w:r w:rsidRPr="00FC1EDD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ατίας </w:t>
      </w:r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14:ligatures w14:val="none"/>
        </w:rPr>
        <w:t>(1998) 3 Α.Α.Δ. 910).</w:t>
      </w:r>
    </w:p>
    <w:p w14:paraId="6CB6E5EE" w14:textId="6A74786F" w:rsidR="00FC1EDD" w:rsidRDefault="00FC1EDD" w:rsidP="001B547C">
      <w:pPr>
        <w:shd w:val="clear" w:color="auto" w:fill="FFFFFF"/>
        <w:spacing w:after="60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kern w:val="0"/>
          <w:sz w:val="28"/>
          <w:szCs w:val="28"/>
          <w:lang w:val="el-GR"/>
          <w14:ligatures w14:val="none"/>
        </w:rPr>
      </w:pPr>
      <w:r w:rsidRPr="00FC1EDD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lastRenderedPageBreak/>
        <w:t xml:space="preserve">Τα άρθρα 30 και 152 του Συντάγματος ρυθμίζουν πάρα πολλά θέματα. Στην απουσία της πιο πάνω εξειδίκευσης του θέματος της συνταγματικότητας η εξέταση του καθίσταται αδύνατη. </w:t>
      </w:r>
      <w:r w:rsidRPr="00BD741C">
        <w:rPr>
          <w:rFonts w:ascii="Bookman Old Style" w:eastAsia="Times New Roman" w:hAnsi="Bookman Old Style" w:cs="Times New Roman"/>
          <w:i/>
          <w:iCs/>
          <w:color w:val="000000"/>
          <w:kern w:val="0"/>
          <w:sz w:val="28"/>
          <w:szCs w:val="28"/>
          <w:lang w:val="el-GR"/>
          <w14:ligatures w14:val="none"/>
        </w:rPr>
        <w:t>Ο σχετικός λόγος της έφεσης απορρίπτεται.</w:t>
      </w:r>
      <w:r>
        <w:rPr>
          <w:rFonts w:ascii="Bookman Old Style" w:eastAsia="Times New Roman" w:hAnsi="Bookman Old Style" w:cs="Times New Roman"/>
          <w:color w:val="000000"/>
          <w:kern w:val="0"/>
          <w:sz w:val="28"/>
          <w:szCs w:val="28"/>
          <w:lang w:val="el-GR"/>
          <w14:ligatures w14:val="none"/>
        </w:rPr>
        <w:t>»</w:t>
      </w:r>
    </w:p>
    <w:p w14:paraId="156F2062" w14:textId="05ADD0FA" w:rsidR="0051483F" w:rsidRPr="00FC1EDD" w:rsidRDefault="00FC1EDD" w:rsidP="005E5278">
      <w:pPr>
        <w:pStyle w:val="apapaoi"/>
        <w:overflowPunct w:val="0"/>
        <w:spacing w:line="480" w:lineRule="auto"/>
        <w:ind w:firstLine="0"/>
        <w:rPr>
          <w:rFonts w:ascii="Bookman Old Style" w:hAnsi="Bookman Old Style" w:cs="Arial"/>
          <w:color w:val="000000"/>
          <w:sz w:val="28"/>
          <w:szCs w:val="28"/>
          <w:lang w:val="el-GR"/>
        </w:rPr>
      </w:pP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ab/>
        <w:t xml:space="preserve">Με βάση τα ανωτέρω, καθίσταται σαφές ότι ζήτημα αντισυνταγματικότητας το οποίο δεν ηγέρθη </w:t>
      </w:r>
      <w:r w:rsidR="001842A4"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ούτε 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>πρωτόδικα</w:t>
      </w:r>
      <w:r w:rsidR="0036270F">
        <w:rPr>
          <w:rFonts w:ascii="Bookman Old Style" w:hAnsi="Bookman Old Style" w:cs="Arial"/>
          <w:color w:val="000000"/>
          <w:sz w:val="28"/>
          <w:szCs w:val="28"/>
          <w:lang w:val="el-GR"/>
        </w:rPr>
        <w:t>,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 </w:t>
      </w:r>
      <w:r w:rsidR="001842A4"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ούτε 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>και κατ’ έφεση</w:t>
      </w:r>
      <w:r w:rsidR="0036270F"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 με 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>τους λόγους έφεσης, δεν εγείρεται και επομένως δεν δύναται να αποτελέσει αντικείμενο εξέτασης στ</w:t>
      </w:r>
      <w:r w:rsidR="0036270F">
        <w:rPr>
          <w:rFonts w:ascii="Bookman Old Style" w:hAnsi="Bookman Old Style" w:cs="Arial"/>
          <w:color w:val="000000"/>
          <w:sz w:val="28"/>
          <w:szCs w:val="28"/>
          <w:lang w:val="el-GR"/>
        </w:rPr>
        <w:t>ο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 πλαίσι</w:t>
      </w:r>
      <w:r w:rsidR="0036270F">
        <w:rPr>
          <w:rFonts w:ascii="Bookman Old Style" w:hAnsi="Bookman Old Style" w:cs="Arial"/>
          <w:color w:val="000000"/>
          <w:sz w:val="28"/>
          <w:szCs w:val="28"/>
          <w:lang w:val="el-GR"/>
        </w:rPr>
        <w:t>ο</w:t>
      </w:r>
      <w:r>
        <w:rPr>
          <w:rFonts w:ascii="Bookman Old Style" w:hAnsi="Bookman Old Style" w:cs="Arial"/>
          <w:color w:val="000000"/>
          <w:sz w:val="28"/>
          <w:szCs w:val="28"/>
          <w:lang w:val="el-GR"/>
        </w:rPr>
        <w:t xml:space="preserve"> της Έφεσης. </w:t>
      </w:r>
    </w:p>
    <w:p w14:paraId="7B13FD94" w14:textId="659BB288" w:rsidR="003259F7" w:rsidRDefault="0036270F" w:rsidP="005E5278">
      <w:pPr>
        <w:spacing w:before="240" w:after="36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Κ</w:t>
      </w:r>
      <w:r w:rsidR="003259F7">
        <w:rPr>
          <w:rFonts w:ascii="Bookman Old Style" w:hAnsi="Bookman Old Style"/>
          <w:sz w:val="28"/>
          <w:szCs w:val="28"/>
          <w:lang w:val="el-GR"/>
        </w:rPr>
        <w:t xml:space="preserve">αταλήγουμε ότι δεν εγείρεται ενώπιον μας ζήτημα αντισυνταγματικότητας για να ενεργοποιείται η εφαρμογή του </w:t>
      </w:r>
      <w:r w:rsidR="003259F7" w:rsidRPr="003D130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144</w:t>
      </w:r>
      <w:r w:rsidR="001842A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.4</w:t>
      </w:r>
      <w:r w:rsidR="003259F7">
        <w:rPr>
          <w:rFonts w:ascii="Bookman Old Style" w:hAnsi="Bookman Old Style"/>
          <w:sz w:val="28"/>
          <w:szCs w:val="28"/>
          <w:lang w:val="el-GR"/>
        </w:rPr>
        <w:t xml:space="preserve"> του </w:t>
      </w:r>
      <w:r w:rsidR="003259F7" w:rsidRPr="003D130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Συντάγματος</w:t>
      </w:r>
      <w:r w:rsidR="003259F7">
        <w:rPr>
          <w:rFonts w:ascii="Bookman Old Style" w:hAnsi="Bookman Old Style"/>
          <w:sz w:val="28"/>
          <w:szCs w:val="28"/>
          <w:lang w:val="el-GR"/>
        </w:rPr>
        <w:t xml:space="preserve"> για παραπομπή στο Ανώτατο Συνταγματικό</w:t>
      </w:r>
      <w:r w:rsidR="001842A4">
        <w:rPr>
          <w:rFonts w:ascii="Bookman Old Style" w:hAnsi="Bookman Old Style"/>
          <w:sz w:val="28"/>
          <w:szCs w:val="28"/>
          <w:lang w:val="el-GR"/>
        </w:rPr>
        <w:t xml:space="preserve"> Δικαστήριο</w:t>
      </w:r>
      <w:r w:rsidR="003259F7">
        <w:rPr>
          <w:rFonts w:ascii="Bookman Old Style" w:hAnsi="Bookman Old Style"/>
          <w:sz w:val="28"/>
          <w:szCs w:val="28"/>
          <w:lang w:val="el-GR"/>
        </w:rPr>
        <w:t>. Ως εκ τούτου η Έφεση θα προχωρήσει σε ακρόαση</w:t>
      </w:r>
      <w:r w:rsidR="003D130B">
        <w:rPr>
          <w:rFonts w:ascii="Bookman Old Style" w:hAnsi="Bookman Old Style"/>
          <w:sz w:val="28"/>
          <w:szCs w:val="28"/>
          <w:lang w:val="el-GR"/>
        </w:rPr>
        <w:t xml:space="preserve"> περιοριζόμενη</w:t>
      </w:r>
      <w:r w:rsidR="003259F7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1842A4">
        <w:rPr>
          <w:rFonts w:ascii="Bookman Old Style" w:hAnsi="Bookman Old Style"/>
          <w:sz w:val="28"/>
          <w:szCs w:val="28"/>
          <w:lang w:val="el-GR"/>
        </w:rPr>
        <w:t xml:space="preserve">στους </w:t>
      </w:r>
      <w:r w:rsidR="003259F7">
        <w:rPr>
          <w:rFonts w:ascii="Bookman Old Style" w:hAnsi="Bookman Old Style"/>
          <w:sz w:val="28"/>
          <w:szCs w:val="28"/>
          <w:lang w:val="el-GR"/>
        </w:rPr>
        <w:t>λόγ</w:t>
      </w:r>
      <w:r w:rsidR="001842A4">
        <w:rPr>
          <w:rFonts w:ascii="Bookman Old Style" w:hAnsi="Bookman Old Style"/>
          <w:sz w:val="28"/>
          <w:szCs w:val="28"/>
          <w:lang w:val="el-GR"/>
        </w:rPr>
        <w:t>ους</w:t>
      </w:r>
      <w:r w:rsidR="003259F7">
        <w:rPr>
          <w:rFonts w:ascii="Bookman Old Style" w:hAnsi="Bookman Old Style"/>
          <w:sz w:val="28"/>
          <w:szCs w:val="28"/>
          <w:lang w:val="el-GR"/>
        </w:rPr>
        <w:t xml:space="preserve"> έφεσης. </w:t>
      </w:r>
    </w:p>
    <w:p w14:paraId="55CFCA1D" w14:textId="77777777" w:rsidR="001B547C" w:rsidRDefault="001B547C" w:rsidP="007D0DBA">
      <w:pPr>
        <w:spacing w:after="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210FB815" w14:textId="7315BD3E" w:rsidR="001B547C" w:rsidRDefault="00BD741C" w:rsidP="001B547C">
      <w:pPr>
        <w:spacing w:after="60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Χ. ΜΑΛΑΧΤΟΣ, Δ.</w:t>
      </w:r>
    </w:p>
    <w:p w14:paraId="7D360B39" w14:textId="1D5986FD" w:rsidR="001B547C" w:rsidRDefault="00BD741C" w:rsidP="001B547C">
      <w:pPr>
        <w:spacing w:after="600"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Ι. ΙΩΑΝΝΙΔΗΣ, Δ.</w:t>
      </w:r>
    </w:p>
    <w:p w14:paraId="721BB728" w14:textId="5B8289F9" w:rsidR="00BD741C" w:rsidRDefault="00BD741C" w:rsidP="001B547C">
      <w:pPr>
        <w:spacing w:after="600"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 xml:space="preserve">Ε. ΕΦΡΑΙΜ, Δ. </w:t>
      </w:r>
    </w:p>
    <w:p w14:paraId="03A59E34" w14:textId="5CCA7729" w:rsidR="000424D3" w:rsidRPr="00240FC2" w:rsidRDefault="00BD741C" w:rsidP="005E5278">
      <w:pPr>
        <w:spacing w:after="600"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/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κβπ</w:t>
      </w:r>
      <w:proofErr w:type="spellEnd"/>
    </w:p>
    <w:sectPr w:rsidR="000424D3" w:rsidRPr="00240FC2" w:rsidSect="00F87DF4">
      <w:headerReference w:type="default" r:id="rId7"/>
      <w:pgSz w:w="12240" w:h="15840"/>
      <w:pgMar w:top="1304" w:right="1440" w:bottom="130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7316" w14:textId="77777777" w:rsidR="00F87DF4" w:rsidRDefault="00F87DF4" w:rsidP="00C325D1">
      <w:pPr>
        <w:spacing w:after="0" w:line="240" w:lineRule="auto"/>
      </w:pPr>
      <w:r>
        <w:separator/>
      </w:r>
    </w:p>
  </w:endnote>
  <w:endnote w:type="continuationSeparator" w:id="0">
    <w:p w14:paraId="30C21FDA" w14:textId="77777777" w:rsidR="00F87DF4" w:rsidRDefault="00F87DF4" w:rsidP="00C3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Times">
    <w:altName w:val="MV Bol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07E5" w14:textId="77777777" w:rsidR="00F87DF4" w:rsidRDefault="00F87DF4" w:rsidP="00C325D1">
      <w:pPr>
        <w:spacing w:after="0" w:line="240" w:lineRule="auto"/>
      </w:pPr>
      <w:r>
        <w:separator/>
      </w:r>
    </w:p>
  </w:footnote>
  <w:footnote w:type="continuationSeparator" w:id="0">
    <w:p w14:paraId="54F25CA1" w14:textId="77777777" w:rsidR="00F87DF4" w:rsidRDefault="00F87DF4" w:rsidP="00C3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902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C33D11" w14:textId="261F6473" w:rsidR="00C325D1" w:rsidRDefault="00C325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051F6" w14:textId="77777777" w:rsidR="00C325D1" w:rsidRDefault="00C32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FA"/>
    <w:rsid w:val="00024376"/>
    <w:rsid w:val="00033EF0"/>
    <w:rsid w:val="000424D3"/>
    <w:rsid w:val="00071FEE"/>
    <w:rsid w:val="000816FC"/>
    <w:rsid w:val="00092222"/>
    <w:rsid w:val="000D41FA"/>
    <w:rsid w:val="00104FA9"/>
    <w:rsid w:val="00141D7E"/>
    <w:rsid w:val="001602F6"/>
    <w:rsid w:val="00164DAE"/>
    <w:rsid w:val="00171963"/>
    <w:rsid w:val="001842A4"/>
    <w:rsid w:val="001A6F7A"/>
    <w:rsid w:val="001B547C"/>
    <w:rsid w:val="00240FC2"/>
    <w:rsid w:val="002509F5"/>
    <w:rsid w:val="00266CCC"/>
    <w:rsid w:val="00274AB0"/>
    <w:rsid w:val="002E1506"/>
    <w:rsid w:val="002F1F70"/>
    <w:rsid w:val="002F59D7"/>
    <w:rsid w:val="00323185"/>
    <w:rsid w:val="003259F7"/>
    <w:rsid w:val="00332E20"/>
    <w:rsid w:val="0036270F"/>
    <w:rsid w:val="0037179B"/>
    <w:rsid w:val="003724C5"/>
    <w:rsid w:val="003751B3"/>
    <w:rsid w:val="00381861"/>
    <w:rsid w:val="00384558"/>
    <w:rsid w:val="00397B1B"/>
    <w:rsid w:val="003D130B"/>
    <w:rsid w:val="003E40CD"/>
    <w:rsid w:val="0041106B"/>
    <w:rsid w:val="00413D55"/>
    <w:rsid w:val="0045611C"/>
    <w:rsid w:val="00475A4A"/>
    <w:rsid w:val="004D2786"/>
    <w:rsid w:val="004F1C86"/>
    <w:rsid w:val="00507CC7"/>
    <w:rsid w:val="0051483F"/>
    <w:rsid w:val="0052208F"/>
    <w:rsid w:val="00541116"/>
    <w:rsid w:val="00543BCF"/>
    <w:rsid w:val="00563438"/>
    <w:rsid w:val="00584B46"/>
    <w:rsid w:val="00586994"/>
    <w:rsid w:val="005943BD"/>
    <w:rsid w:val="005B09D7"/>
    <w:rsid w:val="005B506C"/>
    <w:rsid w:val="005C1511"/>
    <w:rsid w:val="005C2A56"/>
    <w:rsid w:val="005D3E3F"/>
    <w:rsid w:val="005D61A5"/>
    <w:rsid w:val="005E5278"/>
    <w:rsid w:val="00614FB2"/>
    <w:rsid w:val="00622476"/>
    <w:rsid w:val="00626077"/>
    <w:rsid w:val="00636125"/>
    <w:rsid w:val="00692629"/>
    <w:rsid w:val="006E22DE"/>
    <w:rsid w:val="006E2F53"/>
    <w:rsid w:val="006E551D"/>
    <w:rsid w:val="00730BA1"/>
    <w:rsid w:val="0073506B"/>
    <w:rsid w:val="007360AB"/>
    <w:rsid w:val="00746650"/>
    <w:rsid w:val="007932D1"/>
    <w:rsid w:val="007B70D2"/>
    <w:rsid w:val="007C4785"/>
    <w:rsid w:val="007D0DBA"/>
    <w:rsid w:val="007D498A"/>
    <w:rsid w:val="00822618"/>
    <w:rsid w:val="00831112"/>
    <w:rsid w:val="00843627"/>
    <w:rsid w:val="008621E6"/>
    <w:rsid w:val="00893D64"/>
    <w:rsid w:val="008A3C43"/>
    <w:rsid w:val="008D03F1"/>
    <w:rsid w:val="008D124C"/>
    <w:rsid w:val="008F37DE"/>
    <w:rsid w:val="008F52EC"/>
    <w:rsid w:val="009248AB"/>
    <w:rsid w:val="00925DA3"/>
    <w:rsid w:val="00933416"/>
    <w:rsid w:val="00955814"/>
    <w:rsid w:val="00960111"/>
    <w:rsid w:val="00985B56"/>
    <w:rsid w:val="00987455"/>
    <w:rsid w:val="009A2043"/>
    <w:rsid w:val="009E43BE"/>
    <w:rsid w:val="00A20B28"/>
    <w:rsid w:val="00A237A7"/>
    <w:rsid w:val="00A3489F"/>
    <w:rsid w:val="00A47335"/>
    <w:rsid w:val="00A65C7D"/>
    <w:rsid w:val="00A76DE2"/>
    <w:rsid w:val="00AB175E"/>
    <w:rsid w:val="00AB687B"/>
    <w:rsid w:val="00AC517E"/>
    <w:rsid w:val="00AD7661"/>
    <w:rsid w:val="00AF5513"/>
    <w:rsid w:val="00B72B98"/>
    <w:rsid w:val="00BA6957"/>
    <w:rsid w:val="00BA762B"/>
    <w:rsid w:val="00BC6CF5"/>
    <w:rsid w:val="00BD741C"/>
    <w:rsid w:val="00BE2889"/>
    <w:rsid w:val="00BF5BF5"/>
    <w:rsid w:val="00C325D1"/>
    <w:rsid w:val="00C53801"/>
    <w:rsid w:val="00C70F6F"/>
    <w:rsid w:val="00C72EFC"/>
    <w:rsid w:val="00C84E05"/>
    <w:rsid w:val="00CB79D5"/>
    <w:rsid w:val="00CD4C95"/>
    <w:rsid w:val="00CE2B4A"/>
    <w:rsid w:val="00CF0C2F"/>
    <w:rsid w:val="00CF2764"/>
    <w:rsid w:val="00D13B54"/>
    <w:rsid w:val="00D47632"/>
    <w:rsid w:val="00D47AC9"/>
    <w:rsid w:val="00D577EA"/>
    <w:rsid w:val="00DC195F"/>
    <w:rsid w:val="00DC48E1"/>
    <w:rsid w:val="00DC61CD"/>
    <w:rsid w:val="00DE379E"/>
    <w:rsid w:val="00E8746D"/>
    <w:rsid w:val="00EB4297"/>
    <w:rsid w:val="00EC2930"/>
    <w:rsid w:val="00EE2C0E"/>
    <w:rsid w:val="00EE2ED9"/>
    <w:rsid w:val="00F010A7"/>
    <w:rsid w:val="00F1447C"/>
    <w:rsid w:val="00F20C12"/>
    <w:rsid w:val="00F343F4"/>
    <w:rsid w:val="00F36481"/>
    <w:rsid w:val="00F428CA"/>
    <w:rsid w:val="00F675B2"/>
    <w:rsid w:val="00F76191"/>
    <w:rsid w:val="00F87DF4"/>
    <w:rsid w:val="00FA60F0"/>
    <w:rsid w:val="00FB141C"/>
    <w:rsid w:val="00FC1EDD"/>
    <w:rsid w:val="00FD6F86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A04C"/>
  <w15:chartTrackingRefBased/>
  <w15:docId w15:val="{2A7D1234-D6EF-439F-A16C-8967284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61"/>
  </w:style>
  <w:style w:type="paragraph" w:styleId="Heading1">
    <w:name w:val="heading 1"/>
    <w:basedOn w:val="Normal"/>
    <w:next w:val="Normal"/>
    <w:link w:val="Heading1Char"/>
    <w:uiPriority w:val="9"/>
    <w:qFormat/>
    <w:rsid w:val="00AD7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766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D7661"/>
    <w:pPr>
      <w:outlineLvl w:val="9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D1"/>
  </w:style>
  <w:style w:type="paragraph" w:styleId="Footer">
    <w:name w:val="footer"/>
    <w:basedOn w:val="Normal"/>
    <w:link w:val="FooterChar"/>
    <w:uiPriority w:val="99"/>
    <w:unhideWhenUsed/>
    <w:rsid w:val="00C3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D1"/>
  </w:style>
  <w:style w:type="paragraph" w:customStyle="1" w:styleId="apapaoi">
    <w:name w:val="apapaoi"/>
    <w:basedOn w:val="Normal"/>
    <w:rsid w:val="00F20C12"/>
    <w:pPr>
      <w:spacing w:after="0" w:line="250" w:lineRule="atLeast"/>
      <w:ind w:firstLine="283"/>
      <w:jc w:val="both"/>
    </w:pPr>
    <w:rPr>
      <w:rFonts w:ascii="GrTimes" w:eastAsia="Times New Roman" w:hAnsi="GrTimes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32A1-7249-43F9-9BB7-F235B6B4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Efrem</dc:creator>
  <cp:keywords/>
  <dc:description/>
  <cp:lastModifiedBy>Marilia Hadjiprodromou</cp:lastModifiedBy>
  <cp:revision>3</cp:revision>
  <dcterms:created xsi:type="dcterms:W3CDTF">2024-02-02T11:56:00Z</dcterms:created>
  <dcterms:modified xsi:type="dcterms:W3CDTF">2024-02-02T11:57:00Z</dcterms:modified>
</cp:coreProperties>
</file>